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rPr>
          <w:rFonts w:hint="eastAsia" w:ascii="Times New Roman" w:hAnsi="Times New Roman" w:eastAsia="黑体"/>
          <w:b w:val="0"/>
          <w:sz w:val="32"/>
          <w:lang w:val="en-US" w:eastAsia="zh-CN"/>
        </w:rPr>
      </w:pPr>
      <w:r>
        <w:rPr>
          <w:rFonts w:hint="default" w:ascii="Times New Roman" w:hAnsi="Times New Roman" w:eastAsia="黑体"/>
          <w:b w:val="0"/>
          <w:sz w:val="32"/>
        </w:rPr>
        <w:t>附件</w:t>
      </w:r>
      <w:r>
        <w:rPr>
          <w:rFonts w:hint="eastAsia" w:ascii="Times New Roman" w:hAnsi="Times New Roman" w:eastAsia="黑体"/>
          <w:b w:val="0"/>
          <w:sz w:val="32"/>
          <w:lang w:val="en-US" w:eastAsia="zh-CN"/>
        </w:rPr>
        <w:t>1</w:t>
      </w:r>
    </w:p>
    <w:p>
      <w:pPr>
        <w:rPr>
          <w:rFonts w:asciiTheme="minorHAnsi" w:hAnsiTheme="minorHAnsi" w:eastAsiaTheme="minorEastAsia"/>
        </w:rPr>
      </w:pPr>
    </w:p>
    <w:p>
      <w:pPr>
        <w:spacing w:line="480" w:lineRule="auto"/>
        <w:ind w:right="28"/>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2023年职业教育在线精品课程观测指标</w:t>
      </w:r>
    </w:p>
    <w:p>
      <w:pPr>
        <w:spacing w:line="520" w:lineRule="exact"/>
        <w:ind w:right="26"/>
        <w:jc w:val="center"/>
        <w:rPr>
          <w:rFonts w:ascii="Times New Roman" w:hAnsi="Times New Roman" w:eastAsia="黑体"/>
          <w:kern w:val="0"/>
          <w:sz w:val="28"/>
          <w:szCs w:val="28"/>
        </w:rPr>
      </w:pPr>
      <w:r>
        <w:rPr>
          <w:rFonts w:ascii="Times New Roman" w:hAnsi="Times New Roman" w:eastAsia="黑体"/>
          <w:kern w:val="0"/>
          <w:sz w:val="28"/>
          <w:szCs w:val="28"/>
        </w:rPr>
        <w:t>（</w:t>
      </w:r>
      <w:r>
        <w:rPr>
          <w:rFonts w:hint="eastAsia" w:ascii="Times New Roman" w:hAnsi="Times New Roman" w:eastAsia="黑体"/>
          <w:kern w:val="0"/>
          <w:sz w:val="28"/>
          <w:szCs w:val="28"/>
          <w:lang w:val="en-US" w:eastAsia="zh-CN"/>
        </w:rPr>
        <w:t>一</w:t>
      </w:r>
      <w:r>
        <w:rPr>
          <w:rFonts w:ascii="Times New Roman" w:hAnsi="Times New Roman" w:eastAsia="黑体"/>
          <w:kern w:val="0"/>
          <w:sz w:val="28"/>
          <w:szCs w:val="28"/>
        </w:rPr>
        <w:t>）评议性指标</w:t>
      </w:r>
    </w:p>
    <w:tbl>
      <w:tblPr>
        <w:tblStyle w:val="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29"/>
        <w:gridCol w:w="5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9" w:type="dxa"/>
            <w:shd w:val="clear" w:color="auto" w:fill="auto"/>
            <w:vAlign w:val="center"/>
          </w:tcPr>
          <w:p>
            <w:pPr>
              <w:widowControl/>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一级指标</w:t>
            </w:r>
          </w:p>
        </w:tc>
        <w:tc>
          <w:tcPr>
            <w:tcW w:w="1329" w:type="dxa"/>
            <w:shd w:val="clear" w:color="auto" w:fill="auto"/>
            <w:vAlign w:val="center"/>
          </w:tcPr>
          <w:p>
            <w:pPr>
              <w:widowControl/>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二级指标</w:t>
            </w:r>
          </w:p>
        </w:tc>
        <w:tc>
          <w:tcPr>
            <w:tcW w:w="5911" w:type="dxa"/>
            <w:shd w:val="clear" w:color="auto" w:fill="auto"/>
            <w:vAlign w:val="center"/>
          </w:tcPr>
          <w:p>
            <w:pPr>
              <w:widowControl/>
              <w:jc w:val="center"/>
              <w:rPr>
                <w:rFonts w:hint="default" w:ascii="Times New Roman" w:hAnsi="Times New Roman" w:eastAsia="黑体" w:cs="Times New Roman"/>
                <w:color w:val="auto"/>
                <w:kern w:val="0"/>
                <w:szCs w:val="21"/>
              </w:rPr>
            </w:pPr>
            <w:r>
              <w:rPr>
                <w:rFonts w:hint="default" w:ascii="Times New Roman" w:hAnsi="Times New Roman" w:eastAsia="黑体" w:cs="Times New Roman"/>
                <w:color w:val="auto"/>
                <w:kern w:val="0"/>
                <w:szCs w:val="21"/>
              </w:rPr>
              <w:t>观测点及要求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授课教师团队</w:t>
            </w: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团队</w:t>
            </w:r>
            <w:r>
              <w:rPr>
                <w:rFonts w:hint="default" w:ascii="Times New Roman" w:hAnsi="Times New Roman" w:eastAsia="仿宋_GB2312" w:cs="Times New Roman"/>
                <w:color w:val="auto"/>
                <w:kern w:val="0"/>
                <w:szCs w:val="21"/>
                <w:lang w:val="en-US" w:eastAsia="zh-CN"/>
              </w:rPr>
              <w:t>构成与要求</w:t>
            </w:r>
          </w:p>
        </w:tc>
        <w:tc>
          <w:tcPr>
            <w:tcW w:w="5911" w:type="dxa"/>
            <w:shd w:val="clear" w:color="auto" w:fill="auto"/>
            <w:vAlign w:val="center"/>
          </w:tcPr>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1.团队结构合理，师德师风优良，教学表现力和亲和力强，教学成果积累丰富，教学改革意识强，</w:t>
            </w:r>
            <w:r>
              <w:rPr>
                <w:rFonts w:hint="eastAsia" w:ascii="Times New Roman" w:hAnsi="Times New Roman" w:eastAsia="仿宋_GB2312" w:cs="Times New Roman"/>
                <w:color w:val="auto"/>
                <w:kern w:val="0"/>
                <w:szCs w:val="21"/>
                <w:lang w:val="en-US" w:eastAsia="zh-CN"/>
              </w:rPr>
              <w:t>数字</w:t>
            </w:r>
            <w:r>
              <w:rPr>
                <w:rFonts w:hint="default" w:ascii="Times New Roman" w:hAnsi="Times New Roman" w:eastAsia="仿宋_GB2312" w:cs="Times New Roman"/>
                <w:color w:val="auto"/>
                <w:kern w:val="0"/>
                <w:szCs w:val="21"/>
              </w:rPr>
              <w:t>素养高。</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2.课程负责人应具有副高级及以上职称，具有丰富的教学经验和扎实</w:t>
            </w:r>
            <w:r>
              <w:rPr>
                <w:rFonts w:hint="eastAsia" w:ascii="Times New Roman" w:hAnsi="Times New Roman" w:eastAsia="仿宋_GB2312" w:cs="Times New Roman"/>
                <w:color w:val="auto"/>
                <w:kern w:val="0"/>
                <w:szCs w:val="21"/>
                <w:lang w:eastAsia="zh-CN"/>
              </w:rPr>
              <w:t>的</w:t>
            </w:r>
            <w:r>
              <w:rPr>
                <w:rFonts w:hint="default" w:ascii="Times New Roman" w:hAnsi="Times New Roman" w:eastAsia="仿宋_GB2312" w:cs="Times New Roman"/>
                <w:color w:val="auto"/>
                <w:kern w:val="0"/>
                <w:szCs w:val="21"/>
              </w:rPr>
              <w:t>专业功底，在本专业领域具有一定影响力，同一课程负责人限牵头申报一门课程。专业课团队主要成员中应有“双师型”教师。</w:t>
            </w:r>
          </w:p>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szCs w:val="21"/>
              </w:rPr>
              <w:t>3.专业课“双师型</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教师及行业企业兼职教师各具特色，团队主要成员须与课程平台显示人员基本一致，配备必要的助理教师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团队教学与建设</w:t>
            </w:r>
          </w:p>
        </w:tc>
        <w:tc>
          <w:tcPr>
            <w:tcW w:w="5911" w:type="dxa"/>
            <w:shd w:val="clear" w:color="auto" w:fill="auto"/>
            <w:vAlign w:val="center"/>
          </w:tcPr>
          <w:p>
            <w:pPr>
              <w:pStyle w:val="9"/>
              <w:widowControl/>
              <w:numPr>
                <w:ilvl w:val="255"/>
                <w:numId w:val="0"/>
              </w:numP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1.团队拥有丰富教学经验，开展有关教学研究。</w:t>
            </w:r>
          </w:p>
          <w:p>
            <w:pPr>
              <w:pStyle w:val="9"/>
              <w:widowControl/>
              <w:numPr>
                <w:ilvl w:val="255"/>
                <w:numId w:val="0"/>
              </w:numPr>
              <w:rPr>
                <w:rFonts w:hint="default"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2.团队教学能力突出、教学成果显著，获得有关教学奖励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课程设计</w:t>
            </w: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课程定位与目标</w:t>
            </w:r>
          </w:p>
        </w:tc>
        <w:tc>
          <w:tcPr>
            <w:tcW w:w="5911" w:type="dxa"/>
            <w:shd w:val="clear" w:color="auto" w:fill="auto"/>
            <w:vAlign w:val="center"/>
          </w:tcPr>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1.落实立德树人根本任务，符合</w:t>
            </w:r>
            <w:r>
              <w:rPr>
                <w:rFonts w:hint="default" w:ascii="Times New Roman" w:hAnsi="Times New Roman" w:eastAsia="仿宋_GB2312" w:cs="Times New Roman"/>
                <w:color w:val="auto"/>
                <w:kern w:val="0"/>
                <w:lang w:val="en-US" w:eastAsia="zh-CN"/>
              </w:rPr>
              <w:t>相关</w:t>
            </w:r>
            <w:r>
              <w:rPr>
                <w:rFonts w:hint="default" w:ascii="Times New Roman" w:hAnsi="Times New Roman" w:eastAsia="仿宋_GB2312" w:cs="Times New Roman"/>
                <w:color w:val="auto"/>
                <w:kern w:val="0"/>
                <w:highlight w:val="none"/>
                <w:lang w:val="en-US" w:eastAsia="zh-CN"/>
              </w:rPr>
              <w:t>职业教育国家</w:t>
            </w:r>
            <w:r>
              <w:rPr>
                <w:rFonts w:hint="default" w:ascii="Times New Roman" w:hAnsi="Times New Roman" w:eastAsia="仿宋_GB2312" w:cs="Times New Roman"/>
                <w:color w:val="auto"/>
                <w:kern w:val="0"/>
              </w:rPr>
              <w:t>教学标准</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人才培养方案</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lang w:val="en-US" w:eastAsia="zh-CN"/>
              </w:rPr>
              <w:t>课程标准要求</w:t>
            </w:r>
            <w:r>
              <w:rPr>
                <w:rFonts w:hint="default" w:ascii="Times New Roman" w:hAnsi="Times New Roman" w:eastAsia="仿宋_GB2312" w:cs="Times New Roman"/>
                <w:color w:val="auto"/>
                <w:kern w:val="0"/>
              </w:rPr>
              <w:t>，课程性质明确，与前、后接续课程衔接得当。</w:t>
            </w:r>
          </w:p>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2.课程目标定位准确、条目清晰、内容具体、可评可测。</w:t>
            </w:r>
          </w:p>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3.公共基础课程注重打好科学文化基础、培养学生思想政治素质、学科核心素养；专业（技能）课程注重提升专业能力、掌握专业技能，培养学生职业道德、综合素养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课程结构与内容</w:t>
            </w:r>
          </w:p>
        </w:tc>
        <w:tc>
          <w:tcPr>
            <w:tcW w:w="5911" w:type="dxa"/>
            <w:vAlign w:val="center"/>
          </w:tcPr>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1.课程内容组织与安排凸显职业教育类型特征，公共基础课程内容及时反映新知识，体现学科知识与行业（或职业）应用场景的融合</w:t>
            </w:r>
            <w:r>
              <w:rPr>
                <w:rFonts w:hint="default" w:ascii="Times New Roman" w:hAnsi="Times New Roman" w:eastAsia="仿宋_GB2312" w:cs="Times New Roman"/>
                <w:color w:val="auto"/>
                <w:kern w:val="0"/>
                <w:lang w:eastAsia="zh-CN"/>
              </w:rPr>
              <w:t>；</w:t>
            </w:r>
            <w:r>
              <w:rPr>
                <w:rFonts w:hint="default" w:ascii="Times New Roman" w:hAnsi="Times New Roman" w:eastAsia="仿宋_GB2312" w:cs="Times New Roman"/>
                <w:color w:val="auto"/>
                <w:kern w:val="0"/>
              </w:rPr>
              <w:t>专业（技能）课程对接新产业、新业态、新模式、新职业，反映相关领域新方法、新技术、新工艺、新标准，体现行业企业参与特征，紧贴本专业相关技术领域职业岗位（群）的能力要求。</w:t>
            </w:r>
          </w:p>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2.落实课程思政要求，结合不同课程特点、思维方法和价值理念，挖掘课程思政元素，有机融入课程</w:t>
            </w:r>
            <w:r>
              <w:rPr>
                <w:rFonts w:hint="eastAsia" w:ascii="Times New Roman" w:hAnsi="Times New Roman" w:eastAsia="仿宋_GB2312" w:cs="Times New Roman"/>
                <w:color w:val="auto"/>
                <w:kern w:val="0"/>
                <w:lang w:val="en-US" w:eastAsia="zh-CN"/>
              </w:rPr>
              <w:t>教学</w:t>
            </w:r>
            <w:r>
              <w:rPr>
                <w:rFonts w:hint="default" w:ascii="Times New Roman" w:hAnsi="Times New Roman" w:eastAsia="仿宋_GB2312" w:cs="Times New Roman"/>
                <w:color w:val="auto"/>
                <w:kern w:val="0"/>
              </w:rPr>
              <w:t>。</w:t>
            </w:r>
          </w:p>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rPr>
              <w:t>3.课程内容完整、结构合理、逻辑清晰，学习单元划分合理、衔接有序、教学学时分配合理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课程建设</w:t>
            </w: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基本信息与规范</w:t>
            </w:r>
          </w:p>
        </w:tc>
        <w:tc>
          <w:tcPr>
            <w:tcW w:w="5911" w:type="dxa"/>
            <w:vAlign w:val="center"/>
          </w:tcPr>
          <w:p>
            <w:pPr>
              <w:pStyle w:val="9"/>
              <w:widowControl/>
              <w:numPr>
                <w:ilvl w:val="255"/>
                <w:numId w:val="0"/>
              </w:numPr>
              <w:rPr>
                <w:rFonts w:hint="default" w:ascii="Times New Roman" w:hAnsi="Times New Roman" w:eastAsia="仿宋_GB2312" w:cs="Times New Roman"/>
                <w:color w:val="auto"/>
                <w:kern w:val="0"/>
              </w:rPr>
            </w:pPr>
            <w:r>
              <w:rPr>
                <w:rFonts w:hint="default" w:ascii="Times New Roman" w:hAnsi="Times New Roman" w:eastAsia="仿宋_GB2312" w:cs="Times New Roman"/>
                <w:color w:val="auto"/>
                <w:kern w:val="0"/>
                <w:szCs w:val="21"/>
              </w:rPr>
              <w:t>1.课程</w:t>
            </w:r>
            <w:r>
              <w:rPr>
                <w:rFonts w:hint="default" w:ascii="Times New Roman" w:hAnsi="Times New Roman" w:eastAsia="仿宋_GB2312" w:cs="Times New Roman"/>
                <w:color w:val="auto"/>
                <w:kern w:val="0"/>
              </w:rPr>
              <w:t>基本信息完整，课程页面</w:t>
            </w:r>
            <w:r>
              <w:rPr>
                <w:rFonts w:hint="default" w:ascii="Times New Roman" w:hAnsi="Times New Roman" w:eastAsia="仿宋_GB2312" w:cs="Times New Roman"/>
                <w:color w:val="auto"/>
                <w:kern w:val="0"/>
                <w:szCs w:val="21"/>
              </w:rPr>
              <w:t>应包括课程介绍、</w:t>
            </w:r>
            <w:r>
              <w:rPr>
                <w:rFonts w:hint="default" w:ascii="Times New Roman" w:hAnsi="Times New Roman" w:eastAsia="仿宋_GB2312" w:cs="Times New Roman"/>
                <w:color w:val="auto"/>
                <w:kern w:val="0"/>
              </w:rPr>
              <w:t>教学团队、教材</w:t>
            </w:r>
            <w:r>
              <w:rPr>
                <w:rFonts w:hint="default" w:ascii="Times New Roman" w:hAnsi="Times New Roman" w:eastAsia="仿宋_GB2312" w:cs="Times New Roman"/>
                <w:color w:val="auto"/>
                <w:kern w:val="0"/>
                <w:lang w:val="en-US" w:eastAsia="zh-CN"/>
              </w:rPr>
              <w:t>选用情况</w:t>
            </w:r>
            <w:r>
              <w:rPr>
                <w:rFonts w:hint="default" w:ascii="Times New Roman" w:hAnsi="Times New Roman" w:eastAsia="仿宋_GB2312" w:cs="Times New Roman"/>
                <w:color w:val="auto"/>
                <w:kern w:val="0"/>
              </w:rPr>
              <w:t>、</w:t>
            </w:r>
            <w:r>
              <w:rPr>
                <w:rFonts w:hint="default" w:ascii="Times New Roman" w:hAnsi="Times New Roman" w:eastAsia="仿宋_GB2312" w:cs="Times New Roman"/>
                <w:color w:val="auto"/>
                <w:kern w:val="0"/>
                <w:lang w:val="en-US" w:eastAsia="zh-CN"/>
              </w:rPr>
              <w:t>相关辅助学习材料、</w:t>
            </w:r>
            <w:r>
              <w:rPr>
                <w:rFonts w:hint="default" w:ascii="Times New Roman" w:hAnsi="Times New Roman" w:eastAsia="仿宋_GB2312" w:cs="Times New Roman"/>
                <w:color w:val="auto"/>
                <w:kern w:val="0"/>
              </w:rPr>
              <w:t>相关职业类证书等信息。</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2.课程页面布局合理、信息量适度、色彩搭配协调。</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3.导航清晰明确，符号规范。</w:t>
            </w:r>
          </w:p>
          <w:p>
            <w:pPr>
              <w:pStyle w:val="9"/>
              <w:widowControl/>
              <w:numPr>
                <w:ilvl w:val="255"/>
                <w:numId w:val="0"/>
              </w:numPr>
              <w:rPr>
                <w:rFonts w:hint="eastAsia" w:ascii="Times New Roman" w:hAnsi="Times New Roman" w:eastAsia="仿宋_GB2312" w:cs="Times New Roman"/>
                <w:color w:val="auto"/>
                <w:kern w:val="0"/>
                <w:szCs w:val="21"/>
                <w:lang w:val="en-US" w:eastAsia="zh-CN"/>
              </w:rPr>
            </w:pPr>
            <w:r>
              <w:rPr>
                <w:rFonts w:hint="eastAsia" w:ascii="Times New Roman" w:hAnsi="Times New Roman" w:eastAsia="仿宋_GB2312" w:cs="Times New Roman"/>
                <w:color w:val="auto"/>
                <w:kern w:val="0"/>
                <w:szCs w:val="21"/>
                <w:lang w:val="en-US" w:eastAsia="zh-CN"/>
              </w:rPr>
              <w:t>4.</w:t>
            </w:r>
            <w:r>
              <w:rPr>
                <w:rFonts w:hint="eastAsia" w:ascii="仿宋_GB2312" w:hAnsi="仿宋_GB2312" w:eastAsia="仿宋_GB2312" w:cs="仿宋_GB2312"/>
                <w:color w:val="auto"/>
                <w:kern w:val="0"/>
                <w:szCs w:val="21"/>
              </w:rPr>
              <w:t>语言文字、图片、地图等使用符合相关规定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highlight w:val="yellow"/>
                <w:lang w:val="en-US" w:eastAsia="zh-CN"/>
              </w:rPr>
            </w:pPr>
            <w:r>
              <w:rPr>
                <w:rFonts w:hint="default" w:ascii="Times New Roman" w:hAnsi="Times New Roman" w:eastAsia="仿宋_GB2312" w:cs="Times New Roman"/>
                <w:color w:val="auto"/>
                <w:kern w:val="0"/>
                <w:szCs w:val="21"/>
                <w:lang w:val="en-US" w:eastAsia="zh-CN"/>
              </w:rPr>
              <w:t>资源</w:t>
            </w:r>
            <w:r>
              <w:rPr>
                <w:rFonts w:hint="default" w:ascii="Times New Roman" w:hAnsi="Times New Roman" w:eastAsia="仿宋_GB2312" w:cs="Times New Roman"/>
                <w:color w:val="auto"/>
                <w:kern w:val="0"/>
                <w:szCs w:val="21"/>
              </w:rPr>
              <w:t>建设与</w:t>
            </w:r>
            <w:r>
              <w:rPr>
                <w:rFonts w:hint="default" w:ascii="Times New Roman" w:hAnsi="Times New Roman" w:eastAsia="仿宋_GB2312" w:cs="Times New Roman"/>
                <w:color w:val="auto"/>
                <w:kern w:val="0"/>
                <w:szCs w:val="21"/>
                <w:lang w:val="en-US" w:eastAsia="zh-CN"/>
              </w:rPr>
              <w:t>应用</w:t>
            </w:r>
          </w:p>
        </w:tc>
        <w:tc>
          <w:tcPr>
            <w:tcW w:w="5911" w:type="dxa"/>
            <w:vAlign w:val="center"/>
          </w:tcPr>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1.课程资源以自主设计与开发为主，与课程内容相匹配、全覆盖，内在逻辑合理、内容完整精炼，能够满足学校教学和</w:t>
            </w:r>
            <w:r>
              <w:rPr>
                <w:rFonts w:hint="eastAsia" w:ascii="Times New Roman" w:hAnsi="Times New Roman" w:eastAsia="仿宋_GB2312" w:cs="Times New Roman"/>
                <w:color w:val="auto"/>
                <w:kern w:val="0"/>
                <w:szCs w:val="21"/>
                <w:lang w:val="en-US" w:eastAsia="zh-CN"/>
              </w:rPr>
              <w:t>学生</w:t>
            </w:r>
            <w:r>
              <w:rPr>
                <w:rFonts w:hint="default" w:ascii="Times New Roman" w:hAnsi="Times New Roman" w:eastAsia="仿宋_GB2312" w:cs="Times New Roman"/>
                <w:color w:val="auto"/>
                <w:kern w:val="0"/>
                <w:szCs w:val="21"/>
              </w:rPr>
              <w:t>学习需求，做到能学辅教；体现课程思政建设要求，体现行业发展的前沿技术和最新成果。</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2.课程内容丰富、形式多样</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 w:val="21"/>
                <w:szCs w:val="21"/>
                <w:lang w:val="en-US" w:eastAsia="zh-CN"/>
              </w:rPr>
              <w:t>原创度高、</w:t>
            </w:r>
            <w:r>
              <w:rPr>
                <w:rFonts w:hint="default" w:ascii="Times New Roman" w:hAnsi="Times New Roman" w:eastAsia="仿宋_GB2312" w:cs="Times New Roman"/>
                <w:color w:val="auto"/>
                <w:kern w:val="0"/>
                <w:sz w:val="21"/>
                <w:szCs w:val="21"/>
              </w:rPr>
              <w:t>质量精良</w:t>
            </w:r>
            <w:r>
              <w:rPr>
                <w:rFonts w:hint="default" w:ascii="Times New Roman" w:hAnsi="Times New Roman" w:eastAsia="仿宋_GB2312" w:cs="Times New Roman"/>
                <w:color w:val="auto"/>
                <w:kern w:val="0"/>
                <w:sz w:val="21"/>
                <w:szCs w:val="21"/>
                <w:lang w:eastAsia="zh-CN"/>
              </w:rPr>
              <w:t>、</w:t>
            </w:r>
            <w:r>
              <w:rPr>
                <w:rFonts w:hint="default" w:ascii="Times New Roman" w:hAnsi="Times New Roman" w:eastAsia="仿宋_GB2312" w:cs="Times New Roman"/>
                <w:color w:val="auto"/>
                <w:kern w:val="0"/>
                <w:sz w:val="21"/>
                <w:szCs w:val="21"/>
                <w:lang w:val="en-US" w:eastAsia="zh-CN"/>
              </w:rPr>
              <w:t>符合大众审美</w:t>
            </w:r>
            <w:r>
              <w:rPr>
                <w:rFonts w:hint="default" w:ascii="Times New Roman" w:hAnsi="Times New Roman" w:eastAsia="仿宋_GB2312" w:cs="Times New Roman"/>
                <w:color w:val="auto"/>
                <w:kern w:val="0"/>
                <w:szCs w:val="21"/>
              </w:rPr>
              <w:t>，针对各模块知识点或技能点设置对应的授课视频、动画、虚拟仿真、演示文稿等教学资源和测验、作业、考试等教学活动。</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3.科学规划在线学习资源，动画、视频、</w:t>
            </w:r>
            <w:r>
              <w:rPr>
                <w:rFonts w:hint="eastAsia" w:ascii="Times New Roman" w:hAnsi="Times New Roman" w:eastAsia="仿宋_GB2312" w:cs="Times New Roman"/>
                <w:color w:val="auto"/>
                <w:kern w:val="0"/>
                <w:szCs w:val="21"/>
                <w:lang w:val="en-US" w:eastAsia="zh-CN"/>
              </w:rPr>
              <w:t>音频、</w:t>
            </w:r>
            <w:r>
              <w:rPr>
                <w:rFonts w:hint="default" w:ascii="Times New Roman" w:hAnsi="Times New Roman" w:eastAsia="仿宋_GB2312" w:cs="Times New Roman"/>
                <w:color w:val="auto"/>
                <w:kern w:val="0"/>
                <w:szCs w:val="21"/>
              </w:rPr>
              <w:t>虚拟仿真等类型资源一般不少于30%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课程管理与保障</w:t>
            </w:r>
          </w:p>
        </w:tc>
        <w:tc>
          <w:tcPr>
            <w:tcW w:w="5911" w:type="dxa"/>
            <w:vAlign w:val="center"/>
          </w:tcPr>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学校在线课程管理制度和机构健全，已出台在线课程教学管理办法，对课程选用、教学、评价、督导和学分认定等进行规范，做到线上与线下课程教学同管理、同要求，有支持在线课程建设和实施的激励制度，提供人员、经费等保障。</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2.重视知识产权等问题，与院校、企业、团队合作签署的知识产权保障协议（或书面约定）规范严谨、平等互利。</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r>
              <w:rPr>
                <w:rFonts w:hint="default" w:ascii="Times New Roman" w:hAnsi="Times New Roman" w:eastAsia="仿宋_GB2312" w:cs="Times New Roman"/>
                <w:color w:val="auto"/>
                <w:kern w:val="0"/>
              </w:rPr>
              <w:t>教材选用</w:t>
            </w:r>
            <w:r>
              <w:rPr>
                <w:rFonts w:hint="default" w:ascii="Times New Roman" w:hAnsi="Times New Roman" w:eastAsia="仿宋_GB2312" w:cs="Times New Roman"/>
                <w:color w:val="auto"/>
                <w:kern w:val="0"/>
                <w:lang w:val="en-US" w:eastAsia="zh-CN"/>
              </w:rPr>
              <w:t>规范</w:t>
            </w:r>
            <w:r>
              <w:rPr>
                <w:rFonts w:hint="default" w:ascii="Times New Roman" w:hAnsi="Times New Roman" w:eastAsia="仿宋_GB2312" w:cs="Times New Roman"/>
                <w:color w:val="auto"/>
                <w:kern w:val="0"/>
              </w:rPr>
              <w:t>合理，符合有关规定。</w:t>
            </w:r>
            <w:r>
              <w:rPr>
                <w:rFonts w:hint="default" w:ascii="Times New Roman" w:hAnsi="Times New Roman" w:eastAsia="仿宋_GB2312" w:cs="Times New Roman"/>
                <w:color w:val="auto"/>
                <w:kern w:val="0"/>
                <w:szCs w:val="21"/>
              </w:rPr>
              <w:t>引用资源规范</w:t>
            </w:r>
            <w:r>
              <w:rPr>
                <w:rFonts w:hint="default" w:ascii="Times New Roman" w:hAnsi="Times New Roman" w:eastAsia="仿宋_GB2312" w:cs="Times New Roman"/>
                <w:color w:val="auto"/>
                <w:kern w:val="0"/>
                <w:szCs w:val="21"/>
                <w:lang w:val="en-US" w:eastAsia="zh-CN"/>
              </w:rPr>
              <w:t>科学</w:t>
            </w:r>
            <w:r>
              <w:rPr>
                <w:rFonts w:hint="default" w:ascii="Times New Roman" w:hAnsi="Times New Roman" w:eastAsia="仿宋_GB2312" w:cs="Times New Roman"/>
                <w:color w:val="auto"/>
                <w:kern w:val="0"/>
                <w:szCs w:val="21"/>
              </w:rPr>
              <w:t>，符合教学需求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课程实施</w:t>
            </w: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教学组织与安排</w:t>
            </w:r>
          </w:p>
        </w:tc>
        <w:tc>
          <w:tcPr>
            <w:tcW w:w="5911" w:type="dxa"/>
            <w:shd w:val="clear" w:color="auto" w:fill="auto"/>
          </w:tcPr>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1.围绕学习任务，细化具体教学目标，合理把握教学进度、组织具体教学。</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2.教学</w:t>
            </w:r>
            <w:r>
              <w:rPr>
                <w:rFonts w:hint="default" w:ascii="Times New Roman" w:hAnsi="Times New Roman" w:eastAsia="仿宋_GB2312" w:cs="Times New Roman"/>
                <w:color w:val="auto"/>
                <w:kern w:val="0"/>
                <w:szCs w:val="21"/>
                <w:lang w:val="en-US" w:eastAsia="zh-CN"/>
              </w:rPr>
              <w:t>设计科学</w:t>
            </w:r>
            <w:r>
              <w:rPr>
                <w:rFonts w:hint="default" w:ascii="Times New Roman" w:hAnsi="Times New Roman" w:eastAsia="仿宋_GB2312" w:cs="Times New Roman"/>
                <w:color w:val="auto"/>
                <w:kern w:val="0"/>
                <w:szCs w:val="21"/>
              </w:rPr>
              <w:t>，恰当进行课程导入，课程重点难点讲授准确全面，</w:t>
            </w:r>
            <w:r>
              <w:rPr>
                <w:rFonts w:hint="default" w:ascii="Times New Roman" w:hAnsi="Times New Roman" w:eastAsia="仿宋_GB2312" w:cs="Times New Roman"/>
                <w:color w:val="auto"/>
                <w:kern w:val="0"/>
                <w:szCs w:val="21"/>
                <w:lang w:val="en-US" w:eastAsia="zh-CN"/>
              </w:rPr>
              <w:t>方法恰当，</w:t>
            </w:r>
            <w:r>
              <w:rPr>
                <w:rFonts w:hint="default" w:ascii="Times New Roman" w:hAnsi="Times New Roman" w:eastAsia="仿宋_GB2312" w:cs="Times New Roman"/>
                <w:color w:val="auto"/>
                <w:kern w:val="0"/>
                <w:szCs w:val="21"/>
              </w:rPr>
              <w:t>合理使用案例式、探究式等多种教学</w:t>
            </w:r>
            <w:r>
              <w:rPr>
                <w:rFonts w:hint="eastAsia" w:ascii="Times New Roman" w:hAnsi="Times New Roman" w:eastAsia="仿宋_GB2312" w:cs="Times New Roman"/>
                <w:color w:val="auto"/>
                <w:kern w:val="0"/>
                <w:szCs w:val="21"/>
                <w:lang w:val="en-US" w:eastAsia="zh-CN"/>
              </w:rPr>
              <w:t>方法</w:t>
            </w:r>
            <w:r>
              <w:rPr>
                <w:rFonts w:hint="default" w:ascii="Times New Roman" w:hAnsi="Times New Roman" w:eastAsia="仿宋_GB2312" w:cs="Times New Roman"/>
                <w:color w:val="auto"/>
                <w:kern w:val="0"/>
                <w:szCs w:val="21"/>
              </w:rPr>
              <w:t>。</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3.出镜教师教学过程中教仪教态自然大方，语言表达清晰、深入浅出，注重教学互动、激发学生学习</w:t>
            </w:r>
            <w:r>
              <w:rPr>
                <w:rFonts w:hint="default" w:ascii="Times New Roman" w:hAnsi="Times New Roman" w:eastAsia="仿宋_GB2312" w:cs="Times New Roman"/>
                <w:color w:val="auto"/>
                <w:kern w:val="0"/>
                <w:szCs w:val="21"/>
                <w:lang w:val="en-US" w:eastAsia="zh-CN"/>
              </w:rPr>
              <w:t>主动性、</w:t>
            </w:r>
            <w:r>
              <w:rPr>
                <w:rFonts w:hint="default" w:ascii="Times New Roman" w:hAnsi="Times New Roman" w:eastAsia="仿宋_GB2312" w:cs="Times New Roman"/>
                <w:color w:val="auto"/>
                <w:kern w:val="0"/>
                <w:szCs w:val="21"/>
              </w:rPr>
              <w:t>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教学活动与过程</w:t>
            </w:r>
          </w:p>
        </w:tc>
        <w:tc>
          <w:tcPr>
            <w:tcW w:w="5911" w:type="dxa"/>
            <w:shd w:val="clear" w:color="auto" w:fill="auto"/>
          </w:tcPr>
          <w:p>
            <w:pPr>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1.各项教学活动完整、有效，教学过程可回溯，关注教与学全过程的信息采集，教学过程材料完整。</w:t>
            </w:r>
          </w:p>
          <w:p>
            <w:pPr>
              <w:widowControl/>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r>
              <w:rPr>
                <w:rFonts w:ascii="Times New Roman" w:hAnsi="Times New Roman" w:eastAsia="仿宋_GB2312"/>
                <w:color w:val="auto"/>
                <w:kern w:val="0"/>
                <w:szCs w:val="21"/>
              </w:rPr>
              <w:t>合理使用信息技术手段创新教学模式，教学过程突出学生中心，适合在线学习或混合式教学，</w:t>
            </w:r>
            <w:r>
              <w:rPr>
                <w:rFonts w:hint="eastAsia" w:ascii="Times New Roman" w:hAnsi="Times New Roman" w:eastAsia="仿宋_GB2312" w:cs="Times New Roman"/>
                <w:color w:val="auto"/>
                <w:kern w:val="0"/>
                <w:sz w:val="21"/>
                <w:szCs w:val="21"/>
              </w:rPr>
              <w:t>体现行动导向教学</w:t>
            </w:r>
            <w:r>
              <w:rPr>
                <w:rFonts w:hint="eastAsia" w:ascii="Times New Roman" w:hAnsi="Times New Roman" w:eastAsia="仿宋_GB2312"/>
                <w:color w:val="auto"/>
                <w:kern w:val="0"/>
                <w:szCs w:val="21"/>
              </w:rPr>
              <w:t>，</w:t>
            </w:r>
            <w:r>
              <w:rPr>
                <w:rFonts w:ascii="Times New Roman" w:hAnsi="Times New Roman" w:eastAsia="仿宋_GB2312"/>
                <w:color w:val="auto"/>
                <w:kern w:val="0"/>
                <w:szCs w:val="21"/>
              </w:rPr>
              <w:t>能够激发学生学习兴趣和潜能。</w:t>
            </w:r>
          </w:p>
          <w:p>
            <w:pPr>
              <w:widowControl/>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3.提供在线测试、即时在线反馈、作业提交和批改、网上社区讨论等学习支持服务，促进师生之间、学生之间进行资源共享、问题交流和协作学习，实现师生、生生的深度有效互动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学习考核与评价</w:t>
            </w:r>
          </w:p>
        </w:tc>
        <w:tc>
          <w:tcPr>
            <w:tcW w:w="5911" w:type="dxa"/>
            <w:shd w:val="clear" w:color="auto" w:fill="auto"/>
          </w:tcPr>
          <w:p>
            <w:pPr>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1.建立多元化学习评价体系，</w:t>
            </w:r>
            <w:r>
              <w:rPr>
                <w:rFonts w:hint="eastAsia" w:ascii="Times New Roman" w:hAnsi="Times New Roman" w:eastAsia="仿宋_GB2312" w:cs="Times New Roman"/>
                <w:color w:val="auto"/>
                <w:kern w:val="0"/>
                <w:szCs w:val="21"/>
                <w:lang w:val="en-US" w:eastAsia="zh-CN"/>
              </w:rPr>
              <w:t>包括但不限于</w:t>
            </w:r>
            <w:r>
              <w:rPr>
                <w:rFonts w:hint="default" w:ascii="Times New Roman" w:hAnsi="Times New Roman" w:eastAsia="仿宋_GB2312" w:cs="Times New Roman"/>
                <w:color w:val="auto"/>
                <w:kern w:val="0"/>
                <w:szCs w:val="21"/>
              </w:rPr>
              <w:t>结果评价</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过程评价</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增值评价</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综合评价</w:t>
            </w:r>
            <w:r>
              <w:rPr>
                <w:rFonts w:hint="eastAsia" w:ascii="Times New Roman" w:hAnsi="Times New Roman" w:eastAsia="仿宋_GB2312" w:cs="Times New Roman"/>
                <w:color w:val="auto"/>
                <w:kern w:val="0"/>
                <w:szCs w:val="21"/>
                <w:lang w:val="en-US" w:eastAsia="zh-CN"/>
              </w:rPr>
              <w:t>等</w:t>
            </w:r>
            <w:r>
              <w:rPr>
                <w:rFonts w:hint="default" w:ascii="Times New Roman" w:hAnsi="Times New Roman" w:eastAsia="仿宋_GB2312" w:cs="Times New Roman"/>
                <w:color w:val="auto"/>
                <w:kern w:val="0"/>
                <w:szCs w:val="21"/>
              </w:rPr>
              <w:t>。</w:t>
            </w:r>
          </w:p>
          <w:p>
            <w:pPr>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2.探索基于大数据的信息采集分析，全程记录和跟踪教师的教学和学生学习过程，形成教与学的正向反馈。</w:t>
            </w:r>
          </w:p>
          <w:p>
            <w:pPr>
              <w:numPr>
                <w:ilvl w:val="255"/>
                <w:numId w:val="0"/>
              </w:numPr>
              <w:rPr>
                <w:rFonts w:hint="default" w:ascii="Times New Roman" w:hAnsi="Times New Roman" w:eastAsia="仿宋_GB2312" w:cs="Times New Roman"/>
                <w:bCs/>
                <w:color w:val="auto"/>
                <w:szCs w:val="21"/>
              </w:rPr>
            </w:pPr>
            <w:r>
              <w:rPr>
                <w:rFonts w:hint="default" w:ascii="Times New Roman" w:hAnsi="Times New Roman" w:eastAsia="仿宋_GB2312" w:cs="Times New Roman"/>
                <w:color w:val="auto"/>
                <w:kern w:val="0"/>
                <w:szCs w:val="21"/>
              </w:rPr>
              <w:t>3.课程建设过程中，不断完善课程考核评价机制，有效反思课程建设经验</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lang w:val="en-US" w:eastAsia="zh-CN"/>
              </w:rPr>
              <w:t>及时修正</w:t>
            </w:r>
            <w:r>
              <w:rPr>
                <w:rFonts w:hint="default" w:ascii="Times New Roman" w:hAnsi="Times New Roman" w:eastAsia="仿宋_GB2312" w:cs="Times New Roman"/>
                <w:color w:val="auto"/>
                <w:kern w:val="0"/>
                <w:szCs w:val="21"/>
              </w:rPr>
              <w:t>不足，教学诊断改进积极有效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restart"/>
            <w:shd w:val="clear" w:color="auto" w:fill="auto"/>
            <w:vAlign w:val="center"/>
          </w:tcPr>
          <w:p>
            <w:pPr>
              <w:widowControl/>
              <w:jc w:val="center"/>
              <w:rPr>
                <w:rFonts w:hint="eastAsia"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rPr>
              <w:t>应用</w:t>
            </w:r>
            <w:r>
              <w:rPr>
                <w:rFonts w:hint="eastAsia" w:ascii="Times New Roman" w:hAnsi="Times New Roman" w:eastAsia="仿宋_GB2312" w:cs="Times New Roman"/>
                <w:color w:val="auto"/>
                <w:kern w:val="0"/>
                <w:szCs w:val="21"/>
                <w:lang w:val="en-US" w:eastAsia="zh-CN"/>
              </w:rPr>
              <w:t>效果</w:t>
            </w: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教学效果与反馈</w:t>
            </w:r>
          </w:p>
        </w:tc>
        <w:tc>
          <w:tcPr>
            <w:tcW w:w="5911" w:type="dxa"/>
            <w:vAlign w:val="center"/>
          </w:tcPr>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szCs w:val="21"/>
              </w:rPr>
              <w:t>1.</w:t>
            </w:r>
            <w:r>
              <w:rPr>
                <w:rFonts w:hint="default" w:ascii="Times New Roman" w:hAnsi="Times New Roman" w:eastAsia="仿宋_GB2312" w:cs="Times New Roman"/>
                <w:color w:val="auto"/>
                <w:kern w:val="0"/>
                <w:szCs w:val="21"/>
              </w:rPr>
              <w:t>学生适应在线学习方式，可以有效开展个性化学习与合作学习，对课程的参与度</w:t>
            </w:r>
            <w:r>
              <w:rPr>
                <w:rFonts w:hint="default" w:ascii="Times New Roman" w:hAnsi="Times New Roman" w:eastAsia="仿宋_GB2312" w:cs="Times New Roman"/>
                <w:color w:val="auto"/>
                <w:kern w:val="0"/>
                <w:szCs w:val="21"/>
                <w:lang w:val="en-US" w:eastAsia="zh-CN"/>
              </w:rPr>
              <w:t>高</w:t>
            </w:r>
            <w:r>
              <w:rPr>
                <w:rFonts w:hint="default" w:ascii="Times New Roman" w:hAnsi="Times New Roman" w:eastAsia="仿宋_GB2312" w:cs="Times New Roman"/>
                <w:color w:val="auto"/>
                <w:kern w:val="0"/>
                <w:szCs w:val="21"/>
              </w:rPr>
              <w:t>、学习获得感</w:t>
            </w:r>
            <w:r>
              <w:rPr>
                <w:rFonts w:hint="default" w:ascii="Times New Roman" w:hAnsi="Times New Roman" w:eastAsia="仿宋_GB2312" w:cs="Times New Roman"/>
                <w:color w:val="auto"/>
                <w:kern w:val="0"/>
                <w:szCs w:val="21"/>
                <w:lang w:val="en-US" w:eastAsia="zh-CN"/>
              </w:rPr>
              <w:t>强</w:t>
            </w:r>
            <w:r>
              <w:rPr>
                <w:rFonts w:hint="default" w:ascii="Times New Roman" w:hAnsi="Times New Roman" w:eastAsia="仿宋_GB2312" w:cs="Times New Roman"/>
                <w:color w:val="auto"/>
                <w:kern w:val="0"/>
                <w:szCs w:val="21"/>
              </w:rPr>
              <w:t>，学习效果好。</w:t>
            </w:r>
          </w:p>
          <w:p>
            <w:pPr>
              <w:pStyle w:val="9"/>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2.教师具有较强的信息化教学能力，教学团队配合默契，带动其他教育教学改革取得实质性成果。</w:t>
            </w:r>
          </w:p>
          <w:p>
            <w:pPr>
              <w:pStyle w:val="9"/>
              <w:widowControl/>
              <w:numPr>
                <w:ilvl w:val="255"/>
                <w:numId w:val="0"/>
              </w:numP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3.学生对教师教学以及课程的满意度较高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329"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技术支持与服务</w:t>
            </w:r>
          </w:p>
        </w:tc>
        <w:tc>
          <w:tcPr>
            <w:tcW w:w="5911" w:type="dxa"/>
            <w:vAlign w:val="center"/>
          </w:tcPr>
          <w:p>
            <w:pPr>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1.各类教学资源应用充分，活跃用户数占课程注册使用人数的比例较高。</w:t>
            </w:r>
          </w:p>
          <w:p>
            <w:pPr>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2.在线课程教学管理责任有效落实，有效防范在线刷课、替课、刷考、替考行为。</w:t>
            </w:r>
          </w:p>
          <w:p>
            <w:pPr>
              <w:widowControl/>
              <w:numPr>
                <w:ilvl w:val="255"/>
                <w:numId w:val="0"/>
              </w:numP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3.课程平台能够保障信息安全，能够在多种终端上运行</w:t>
            </w:r>
            <w:r>
              <w:rPr>
                <w:rFonts w:hint="eastAsia"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rPr>
              <w:t>同时</w:t>
            </w:r>
            <w:r>
              <w:rPr>
                <w:rFonts w:hint="default" w:ascii="Times New Roman" w:hAnsi="Times New Roman" w:eastAsia="仿宋_GB2312" w:cs="Times New Roman"/>
                <w:color w:val="auto"/>
                <w:kern w:val="0"/>
                <w:szCs w:val="21"/>
                <w:lang w:val="en-US" w:eastAsia="zh-CN"/>
              </w:rPr>
              <w:t>满足</w:t>
            </w:r>
            <w:r>
              <w:rPr>
                <w:rFonts w:hint="default" w:ascii="Times New Roman" w:hAnsi="Times New Roman" w:eastAsia="仿宋_GB2312" w:cs="Times New Roman"/>
                <w:color w:val="auto"/>
                <w:kern w:val="0"/>
                <w:szCs w:val="21"/>
              </w:rPr>
              <w:t>提供</w:t>
            </w:r>
            <w:r>
              <w:rPr>
                <w:rFonts w:hint="default" w:ascii="Times New Roman" w:hAnsi="Times New Roman" w:eastAsia="仿宋_GB2312" w:cs="Times New Roman"/>
                <w:color w:val="auto"/>
                <w:kern w:val="0"/>
                <w:szCs w:val="21"/>
                <w:lang w:val="en-US" w:eastAsia="zh-CN"/>
              </w:rPr>
              <w:t>开放</w:t>
            </w:r>
            <w:r>
              <w:rPr>
                <w:rFonts w:hint="default" w:ascii="Times New Roman" w:hAnsi="Times New Roman" w:eastAsia="仿宋_GB2312" w:cs="Times New Roman"/>
                <w:color w:val="auto"/>
                <w:kern w:val="0"/>
                <w:szCs w:val="21"/>
              </w:rPr>
              <w:t>用户身份数据、课程访问数据、学习行为数据以及相关运行数据等监管</w:t>
            </w:r>
            <w:r>
              <w:rPr>
                <w:rFonts w:hint="default" w:ascii="Times New Roman" w:hAnsi="Times New Roman" w:eastAsia="仿宋_GB2312" w:cs="Times New Roman"/>
                <w:color w:val="auto"/>
                <w:kern w:val="0"/>
                <w:szCs w:val="21"/>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19" w:type="dxa"/>
            <w:vMerge w:val="continue"/>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329" w:type="dxa"/>
            <w:vAlign w:val="center"/>
          </w:tcPr>
          <w:p>
            <w:pPr>
              <w:widowControl/>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课程示范与引领</w:t>
            </w:r>
          </w:p>
        </w:tc>
        <w:tc>
          <w:tcPr>
            <w:tcW w:w="5911" w:type="dxa"/>
          </w:tcPr>
          <w:p>
            <w:pPr>
              <w:widowControl/>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1.在教学和课程改革</w:t>
            </w:r>
            <w:r>
              <w:rPr>
                <w:rFonts w:hint="default" w:ascii="Times New Roman" w:hAnsi="Times New Roman" w:eastAsia="仿宋_GB2312" w:cs="Times New Roman"/>
                <w:color w:val="auto"/>
                <w:kern w:val="0"/>
                <w:szCs w:val="21"/>
              </w:rPr>
              <w:t>方面与同类课程相比优势</w:t>
            </w:r>
            <w:r>
              <w:rPr>
                <w:rFonts w:hint="default" w:ascii="Times New Roman" w:hAnsi="Times New Roman" w:eastAsia="仿宋_GB2312" w:cs="Times New Roman"/>
                <w:color w:val="auto"/>
                <w:kern w:val="0"/>
                <w:szCs w:val="21"/>
                <w:lang w:val="en-US" w:eastAsia="zh-CN"/>
              </w:rPr>
              <w:t>明显</w:t>
            </w:r>
            <w:r>
              <w:rPr>
                <w:rFonts w:hint="default" w:ascii="Times New Roman" w:hAnsi="Times New Roman" w:eastAsia="仿宋_GB2312" w:cs="Times New Roman"/>
                <w:color w:val="auto"/>
                <w:kern w:val="0"/>
                <w:szCs w:val="21"/>
              </w:rPr>
              <w:t>，具有推广价值。</w:t>
            </w:r>
          </w:p>
          <w:p>
            <w:pPr>
              <w:widowControl/>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2.面向其他院校学生、企业员工和社会学习者开放学习，可供其他院校教师教学引用，用户使用活跃度高，应用效果良好、社会影响力大，认可度高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9" w:type="dxa"/>
            <w:shd w:val="clear" w:color="auto" w:fill="auto"/>
            <w:vAlign w:val="center"/>
          </w:tcPr>
          <w:p>
            <w:pPr>
              <w:widowControl/>
              <w:jc w:val="center"/>
              <w:rPr>
                <w:rFonts w:hint="default" w:ascii="Times New Roman" w:hAnsi="Times New Roman" w:eastAsia="仿宋_GB2312" w:cs="Times New Roman"/>
                <w:color w:val="auto"/>
                <w:kern w:val="0"/>
                <w:szCs w:val="21"/>
                <w:lang w:val="en-US"/>
              </w:rPr>
            </w:pPr>
            <w:r>
              <w:rPr>
                <w:rFonts w:hint="eastAsia" w:ascii="Times New Roman" w:hAnsi="Times New Roman" w:eastAsia="仿宋_GB2312" w:cs="Times New Roman"/>
                <w:color w:val="auto"/>
                <w:kern w:val="0"/>
                <w:szCs w:val="21"/>
                <w:lang w:val="en-US" w:eastAsia="zh-CN"/>
              </w:rPr>
              <w:t>课程创新</w:t>
            </w:r>
          </w:p>
        </w:tc>
        <w:tc>
          <w:tcPr>
            <w:tcW w:w="7240" w:type="dxa"/>
            <w:gridSpan w:val="2"/>
            <w:shd w:val="clear" w:color="auto" w:fill="auto"/>
            <w:vAlign w:val="center"/>
          </w:tcPr>
          <w:p>
            <w:pPr>
              <w:widowControl/>
              <w:jc w:val="left"/>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rPr>
              <w:t>充分彰显职业教育类型特征，</w:t>
            </w:r>
            <w:r>
              <w:rPr>
                <w:rFonts w:hint="eastAsia" w:ascii="Times New Roman" w:hAnsi="Times New Roman" w:eastAsia="仿宋_GB2312" w:cs="Times New Roman"/>
                <w:color w:val="auto"/>
                <w:kern w:val="0"/>
                <w:szCs w:val="21"/>
              </w:rPr>
              <w:t>体现专业数字化转型</w:t>
            </w:r>
            <w:r>
              <w:rPr>
                <w:rFonts w:hint="default" w:ascii="Times New Roman" w:hAnsi="Times New Roman" w:eastAsia="仿宋_GB2312" w:cs="Times New Roman"/>
                <w:color w:val="auto"/>
                <w:kern w:val="0"/>
                <w:szCs w:val="21"/>
                <w:lang w:val="en-US" w:eastAsia="zh-CN"/>
              </w:rPr>
              <w:t>新</w:t>
            </w:r>
            <w:r>
              <w:rPr>
                <w:rFonts w:hint="default" w:ascii="Times New Roman" w:hAnsi="Times New Roman" w:eastAsia="仿宋_GB2312" w:cs="Times New Roman"/>
                <w:color w:val="auto"/>
                <w:kern w:val="0"/>
                <w:szCs w:val="21"/>
              </w:rPr>
              <w:t>要求，能够较好解决职业教育教学</w:t>
            </w:r>
            <w:r>
              <w:rPr>
                <w:rFonts w:hint="default" w:ascii="Times New Roman" w:hAnsi="Times New Roman" w:eastAsia="仿宋_GB2312" w:cs="Times New Roman"/>
                <w:color w:val="auto"/>
                <w:kern w:val="0"/>
                <w:szCs w:val="21"/>
                <w:lang w:val="en-US" w:eastAsia="zh-CN"/>
              </w:rPr>
              <w:t>痛点难点问题</w:t>
            </w:r>
            <w:r>
              <w:rPr>
                <w:rFonts w:hint="eastAsia" w:ascii="Times New Roman" w:hAnsi="Times New Roman" w:eastAsia="仿宋_GB2312" w:cs="Times New Roman"/>
                <w:color w:val="auto"/>
                <w:kern w:val="0"/>
                <w:szCs w:val="21"/>
                <w:lang w:val="en-US" w:eastAsia="zh-CN"/>
              </w:rPr>
              <w:t>。</w:t>
            </w:r>
            <w:r>
              <w:rPr>
                <w:rFonts w:hint="default" w:ascii="Times New Roman" w:hAnsi="Times New Roman" w:eastAsia="仿宋_GB2312" w:cs="Times New Roman"/>
                <w:color w:val="auto"/>
                <w:kern w:val="0"/>
                <w:szCs w:val="21"/>
              </w:rPr>
              <w:t>课程与教学改革理念具有原创性、教学实践效果显著，</w:t>
            </w:r>
            <w:r>
              <w:rPr>
                <w:rFonts w:hint="eastAsia" w:ascii="Times New Roman" w:hAnsi="Times New Roman" w:eastAsia="仿宋_GB2312"/>
                <w:color w:val="auto"/>
                <w:kern w:val="0"/>
                <w:szCs w:val="21"/>
              </w:rPr>
              <w:t>在落实课程思政、优化教学内容、创新教学模式、改进教学评价、运用信息技术等方面创新明显</w:t>
            </w:r>
            <w:r>
              <w:rPr>
                <w:rFonts w:hint="eastAsia" w:ascii="Times New Roman" w:hAnsi="Times New Roman" w:eastAsia="仿宋_GB2312"/>
                <w:color w:val="auto"/>
                <w:kern w:val="0"/>
                <w:szCs w:val="21"/>
                <w:lang w:eastAsia="zh-CN"/>
              </w:rPr>
              <w:t>。</w:t>
            </w:r>
            <w:r>
              <w:rPr>
                <w:rFonts w:hint="default" w:ascii="Times New Roman" w:hAnsi="Times New Roman" w:eastAsia="仿宋_GB2312" w:cs="Times New Roman"/>
                <w:color w:val="auto"/>
                <w:kern w:val="0"/>
                <w:szCs w:val="21"/>
              </w:rPr>
              <w:t>能够提供双语教学资源、进行双语教学等</w:t>
            </w:r>
          </w:p>
        </w:tc>
      </w:tr>
    </w:tbl>
    <w:p>
      <w:pPr>
        <w:rPr>
          <w:rFonts w:ascii="Times New Roman" w:hAnsi="Times New Roman" w:eastAsia="黑体"/>
          <w:kern w:val="0"/>
          <w:sz w:val="28"/>
          <w:szCs w:val="28"/>
        </w:rPr>
      </w:pPr>
      <w:r>
        <w:rPr>
          <w:rFonts w:ascii="Times New Roman" w:hAnsi="Times New Roman" w:eastAsia="黑体"/>
          <w:kern w:val="0"/>
          <w:sz w:val="28"/>
          <w:szCs w:val="28"/>
        </w:rPr>
        <w:br w:type="page"/>
      </w:r>
    </w:p>
    <w:p>
      <w:pPr>
        <w:spacing w:line="520" w:lineRule="exact"/>
        <w:ind w:right="26"/>
        <w:jc w:val="center"/>
        <w:rPr>
          <w:rFonts w:ascii="Times New Roman" w:hAnsi="Times New Roman" w:eastAsia="黑体"/>
          <w:kern w:val="0"/>
          <w:sz w:val="28"/>
          <w:szCs w:val="28"/>
        </w:rPr>
      </w:pPr>
      <w:r>
        <w:rPr>
          <w:rFonts w:ascii="Times New Roman" w:hAnsi="Times New Roman" w:eastAsia="黑体"/>
          <w:kern w:val="0"/>
          <w:sz w:val="28"/>
          <w:szCs w:val="28"/>
        </w:rPr>
        <w:t>（</w:t>
      </w:r>
      <w:r>
        <w:rPr>
          <w:rFonts w:hint="eastAsia" w:ascii="Times New Roman" w:hAnsi="Times New Roman" w:eastAsia="黑体"/>
          <w:kern w:val="0"/>
          <w:sz w:val="28"/>
          <w:szCs w:val="28"/>
          <w:lang w:val="en-US" w:eastAsia="zh-CN"/>
        </w:rPr>
        <w:t>二</w:t>
      </w:r>
      <w:r>
        <w:rPr>
          <w:rFonts w:ascii="Times New Roman" w:hAnsi="Times New Roman" w:eastAsia="黑体"/>
          <w:kern w:val="0"/>
          <w:sz w:val="28"/>
          <w:szCs w:val="28"/>
        </w:rPr>
        <w:t>）否定性指标</w:t>
      </w:r>
    </w:p>
    <w:tbl>
      <w:tblPr>
        <w:tblStyle w:val="5"/>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393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23"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维度</w:t>
            </w:r>
          </w:p>
        </w:tc>
        <w:tc>
          <w:tcPr>
            <w:tcW w:w="3938" w:type="dxa"/>
            <w:shd w:val="clear" w:color="auto" w:fill="auto"/>
            <w:vAlign w:val="center"/>
          </w:tcPr>
          <w:p>
            <w:pPr>
              <w:widowControl/>
              <w:jc w:val="center"/>
              <w:rPr>
                <w:rFonts w:ascii="Times New Roman" w:hAnsi="Times New Roman" w:eastAsia="黑体"/>
                <w:kern w:val="0"/>
                <w:szCs w:val="21"/>
              </w:rPr>
            </w:pPr>
            <w:r>
              <w:rPr>
                <w:rFonts w:ascii="Times New Roman" w:hAnsi="Times New Roman" w:eastAsia="黑体"/>
                <w:kern w:val="0"/>
                <w:szCs w:val="21"/>
              </w:rPr>
              <w:t>具体指标</w:t>
            </w:r>
          </w:p>
        </w:tc>
        <w:tc>
          <w:tcPr>
            <w:tcW w:w="3378" w:type="dxa"/>
            <w:vAlign w:val="center"/>
          </w:tcPr>
          <w:p>
            <w:pPr>
              <w:widowControl/>
              <w:jc w:val="center"/>
              <w:rPr>
                <w:rFonts w:ascii="Times New Roman" w:hAnsi="Times New Roman" w:eastAsia="黑体"/>
                <w:kern w:val="0"/>
                <w:szCs w:val="21"/>
              </w:rPr>
            </w:pPr>
            <w:r>
              <w:rPr>
                <w:rFonts w:ascii="Times New Roman" w:hAnsi="Times New Roman" w:eastAsia="黑体"/>
                <w:kern w:val="0"/>
                <w:szCs w:val="21"/>
              </w:rPr>
              <w:t>观测点及方式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课程资格</w:t>
            </w: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课程与推荐申报类型不符</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查看教务系统截图，核实是否是专业人才培养方案的在线课程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开设时间或期数不符合申报要求</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查看课程平台（</w:t>
            </w:r>
            <w:r>
              <w:rPr>
                <w:rFonts w:hint="eastAsia" w:ascii="仿宋_GB2312" w:hAnsi="仿宋_GB2312" w:eastAsia="仿宋_GB2312" w:cs="仿宋_GB2312"/>
                <w:kern w:val="0"/>
                <w:szCs w:val="21"/>
                <w:lang w:val="en-US" w:eastAsia="zh-CN"/>
              </w:rPr>
              <w:t>包括主要开课平台和其他开课平台</w:t>
            </w:r>
            <w:r>
              <w:rPr>
                <w:rFonts w:hint="eastAsia" w:ascii="仿宋_GB2312" w:hAnsi="仿宋_GB2312" w:eastAsia="仿宋_GB2312" w:cs="仿宋_GB2312"/>
                <w:kern w:val="0"/>
                <w:szCs w:val="21"/>
              </w:rPr>
              <w:t>）运行情况</w:t>
            </w:r>
            <w:r>
              <w:rPr>
                <w:rFonts w:hint="eastAsia" w:ascii="仿宋_GB2312" w:hAnsi="仿宋_GB2312" w:eastAsia="仿宋_GB2312" w:cs="仿宋_GB2312"/>
                <w:kern w:val="0"/>
                <w:szCs w:val="21"/>
                <w:lang w:val="en-US" w:eastAsia="zh-CN"/>
              </w:rPr>
              <w:t>和提交的申报材料</w:t>
            </w:r>
            <w:r>
              <w:rPr>
                <w:rFonts w:hint="eastAsia" w:ascii="仿宋_GB2312" w:hAnsi="仿宋_GB2312" w:eastAsia="仿宋_GB2312" w:cs="仿宋_GB2312"/>
                <w:kern w:val="0"/>
                <w:szCs w:val="21"/>
              </w:rPr>
              <w:t>，核实</w:t>
            </w:r>
            <w:r>
              <w:rPr>
                <w:rFonts w:hint="eastAsia" w:ascii="仿宋_GB2312" w:hAnsi="仿宋_GB2312" w:eastAsia="仿宋_GB2312" w:cs="仿宋_GB2312"/>
                <w:kern w:val="0"/>
                <w:szCs w:val="21"/>
                <w:lang w:val="en-US" w:eastAsia="zh-CN"/>
              </w:rPr>
              <w:t>课程</w:t>
            </w:r>
            <w:r>
              <w:rPr>
                <w:rFonts w:hint="eastAsia" w:ascii="Times New Roman" w:hAnsi="Times New Roman" w:eastAsia="仿宋_GB2312" w:cs="Times New Roman"/>
                <w:kern w:val="0"/>
                <w:lang w:val="en-US" w:eastAsia="zh-CN"/>
              </w:rPr>
              <w:t>总学时是否不低于</w:t>
            </w:r>
            <w:r>
              <w:rPr>
                <w:rFonts w:hint="default" w:ascii="Times New Roman" w:hAnsi="Times New Roman" w:eastAsia="仿宋_GB2312" w:cs="Times New Roman"/>
                <w:kern w:val="0"/>
              </w:rPr>
              <w:t>32学时</w:t>
            </w:r>
            <w:r>
              <w:rPr>
                <w:rFonts w:hint="eastAsia" w:ascii="Times New Roman" w:hAnsi="Times New Roman" w:eastAsia="仿宋_GB2312" w:cs="Times New Roman"/>
                <w:kern w:val="0"/>
                <w:lang w:val="en-US" w:eastAsia="zh-CN"/>
              </w:rPr>
              <w:t>以及</w:t>
            </w:r>
            <w:r>
              <w:rPr>
                <w:rFonts w:hint="eastAsia" w:ascii="仿宋_GB2312" w:hAnsi="仿宋_GB2312" w:eastAsia="仿宋_GB2312" w:cs="仿宋_GB2312"/>
                <w:kern w:val="0"/>
                <w:szCs w:val="21"/>
              </w:rPr>
              <w:t>申报截止日期前是否完成至少两（学）期教学实践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教材选用不合规</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查看提交的</w:t>
            </w:r>
            <w:r>
              <w:rPr>
                <w:rFonts w:hint="eastAsia" w:ascii="仿宋_GB2312" w:hAnsi="仿宋_GB2312" w:eastAsia="仿宋_GB2312" w:cs="仿宋_GB2312"/>
                <w:kern w:val="0"/>
                <w:szCs w:val="21"/>
                <w:lang w:val="en-US" w:eastAsia="zh-CN"/>
              </w:rPr>
              <w:t>申报</w:t>
            </w:r>
            <w:r>
              <w:rPr>
                <w:rFonts w:hint="eastAsia" w:ascii="仿宋_GB2312" w:hAnsi="仿宋_GB2312" w:eastAsia="仿宋_GB2312" w:cs="仿宋_GB2312"/>
                <w:kern w:val="0"/>
                <w:szCs w:val="21"/>
              </w:rPr>
              <w:t>材料，核实选用教材是否符合《职业院校教材管理办法》等有关要求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课程基本信息明显不一致</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查看教务系统截图，重点比对课程名称、授课教师、学时等有关说明材料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课程线上教学资源、教学活动无法查看</w:t>
            </w:r>
          </w:p>
        </w:tc>
        <w:tc>
          <w:tcPr>
            <w:tcW w:w="3378" w:type="dxa"/>
            <w:vAlign w:val="center"/>
          </w:tcPr>
          <w:p>
            <w:pPr>
              <w:widowControl/>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查看课程</w:t>
            </w:r>
            <w:r>
              <w:rPr>
                <w:rFonts w:hint="eastAsia" w:ascii="仿宋_GB2312" w:hAnsi="仿宋_GB2312" w:eastAsia="仿宋_GB2312" w:cs="仿宋_GB2312"/>
                <w:kern w:val="0"/>
                <w:szCs w:val="21"/>
                <w:lang w:val="en-US" w:eastAsia="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课程含不安全外部链接</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查看课程</w:t>
            </w:r>
            <w:r>
              <w:rPr>
                <w:rFonts w:hint="eastAsia" w:ascii="仿宋_GB2312" w:hAnsi="仿宋_GB2312" w:eastAsia="仿宋_GB2312" w:cs="仿宋_GB2312"/>
                <w:kern w:val="0"/>
                <w:szCs w:val="21"/>
                <w:lang w:val="en-US" w:eastAsia="zh-CN"/>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课程内容存在政治性、科学性、规范性问题</w:t>
            </w:r>
          </w:p>
        </w:tc>
        <w:tc>
          <w:tcPr>
            <w:tcW w:w="3378" w:type="dxa"/>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查看课程内容和有关材料，</w:t>
            </w:r>
            <w:r>
              <w:rPr>
                <w:rFonts w:hint="eastAsia" w:ascii="仿宋_GB2312" w:hAnsi="仿宋_GB2312" w:eastAsia="仿宋_GB2312" w:cs="仿宋_GB2312"/>
                <w:kern w:val="0"/>
                <w:szCs w:val="21"/>
                <w:lang w:val="en-US" w:eastAsia="zh-CN"/>
              </w:rPr>
              <w:t>核实</w:t>
            </w:r>
            <w:r>
              <w:rPr>
                <w:rFonts w:hint="eastAsia" w:ascii="仿宋_GB2312" w:hAnsi="仿宋_GB2312" w:eastAsia="仿宋_GB2312" w:cs="仿宋_GB2312"/>
                <w:kern w:val="0"/>
                <w:szCs w:val="21"/>
              </w:rPr>
              <w:t>是否</w:t>
            </w:r>
            <w:r>
              <w:rPr>
                <w:rFonts w:hint="eastAsia" w:ascii="仿宋_GB2312" w:hAnsi="仿宋_GB2312" w:eastAsia="仿宋_GB2312" w:cs="仿宋_GB2312"/>
                <w:kern w:val="0"/>
                <w:szCs w:val="21"/>
                <w:lang w:val="en-US" w:eastAsia="zh-CN"/>
              </w:rPr>
              <w:t>存在意识形态问题或科学性问题，是否存在其他重大规范性问题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2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教师资格</w:t>
            </w:r>
          </w:p>
        </w:tc>
        <w:tc>
          <w:tcPr>
            <w:tcW w:w="3938" w:type="dxa"/>
            <w:shd w:val="clear" w:color="auto" w:fill="auto"/>
            <w:vAlign w:val="center"/>
          </w:tcPr>
          <w:p>
            <w:pPr>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团队成员存在师德师风方面问题</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查看“团队成员政治审查意见”以及提交的有关材料是否合规，或举报属实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restart"/>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申报材料</w:t>
            </w: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申报材料造假</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查看提交的材料，或举报属实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vMerge w:val="continue"/>
            <w:shd w:val="clear" w:color="auto" w:fill="auto"/>
            <w:vAlign w:val="center"/>
          </w:tcPr>
          <w:p>
            <w:pPr>
              <w:widowControl/>
              <w:jc w:val="center"/>
              <w:rPr>
                <w:rFonts w:hint="eastAsia" w:ascii="仿宋_GB2312" w:hAnsi="仿宋_GB2312" w:eastAsia="仿宋_GB2312" w:cs="仿宋_GB2312"/>
                <w:kern w:val="0"/>
                <w:szCs w:val="21"/>
              </w:rPr>
            </w:pPr>
          </w:p>
        </w:tc>
        <w:tc>
          <w:tcPr>
            <w:tcW w:w="3938" w:type="dxa"/>
            <w:shd w:val="clear" w:color="auto" w:fill="auto"/>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有侵权现象</w:t>
            </w:r>
          </w:p>
        </w:tc>
        <w:tc>
          <w:tcPr>
            <w:tcW w:w="3378" w:type="dxa"/>
            <w:vAlign w:val="center"/>
          </w:tcPr>
          <w:p>
            <w:pPr>
              <w:widowControl/>
              <w:rPr>
                <w:rFonts w:hint="eastAsia" w:ascii="仿宋_GB2312" w:hAnsi="仿宋_GB2312" w:eastAsia="仿宋_GB2312" w:cs="仿宋_GB2312"/>
                <w:szCs w:val="21"/>
                <w:lang w:eastAsia="zh-CN"/>
              </w:rPr>
            </w:pPr>
            <w:r>
              <w:rPr>
                <w:rFonts w:hint="eastAsia" w:ascii="仿宋_GB2312" w:hAnsi="仿宋_GB2312" w:eastAsia="仿宋_GB2312" w:cs="仿宋_GB2312"/>
                <w:kern w:val="0"/>
                <w:szCs w:val="21"/>
              </w:rPr>
              <w:t>查看课程内容和有关材料</w:t>
            </w:r>
            <w:r>
              <w:rPr>
                <w:rFonts w:hint="eastAsia" w:ascii="仿宋_GB2312" w:hAnsi="仿宋_GB2312" w:eastAsia="仿宋_GB2312" w:cs="仿宋_GB2312"/>
                <w:szCs w:val="21"/>
              </w:rPr>
              <w:t>，或举报属实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23"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平台资格</w:t>
            </w:r>
          </w:p>
        </w:tc>
        <w:tc>
          <w:tcPr>
            <w:tcW w:w="3938" w:type="dxa"/>
            <w:shd w:val="clear" w:color="auto" w:fill="auto"/>
          </w:tcPr>
          <w:p>
            <w:pPr>
              <w:widowControl/>
              <w:jc w:val="left"/>
              <w:rPr>
                <w:rFonts w:hint="eastAsia" w:ascii="仿宋_GB2312" w:hAnsi="仿宋_GB2312" w:eastAsia="仿宋_GB2312" w:cs="仿宋_GB2312"/>
                <w:kern w:val="0"/>
                <w:sz w:val="18"/>
                <w:szCs w:val="21"/>
              </w:rPr>
            </w:pPr>
            <w:r>
              <w:rPr>
                <w:rFonts w:hint="eastAsia" w:ascii="仿宋_GB2312" w:hAnsi="仿宋_GB2312" w:eastAsia="仿宋_GB2312" w:cs="仿宋_GB2312"/>
                <w:kern w:val="0"/>
                <w:szCs w:val="21"/>
                <w:lang w:val="en-US" w:eastAsia="zh-CN"/>
              </w:rPr>
              <w:t>无</w:t>
            </w:r>
            <w:r>
              <w:rPr>
                <w:rFonts w:hint="eastAsia" w:ascii="仿宋_GB2312" w:hAnsi="仿宋_GB2312" w:eastAsia="仿宋_GB2312" w:cs="仿宋_GB2312"/>
                <w:kern w:val="0"/>
                <w:szCs w:val="21"/>
              </w:rPr>
              <w:t>工信部ICP网站备案</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无</w:t>
            </w:r>
            <w:r>
              <w:rPr>
                <w:rFonts w:hint="eastAsia" w:ascii="仿宋_GB2312" w:hAnsi="仿宋_GB2312" w:eastAsia="仿宋_GB2312" w:cs="仿宋_GB2312"/>
                <w:kern w:val="0"/>
                <w:szCs w:val="21"/>
              </w:rPr>
              <w:t>公安机关网站备案号</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信息安全等级保护证书未达到三级</w:t>
            </w:r>
          </w:p>
        </w:tc>
        <w:tc>
          <w:tcPr>
            <w:tcW w:w="3378" w:type="dxa"/>
            <w:vAlign w:val="center"/>
          </w:tcPr>
          <w:p>
            <w:pPr>
              <w:widowControl/>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rPr>
              <w:t>查看“提供的课程访问网址”和有关材料，或举报属实</w:t>
            </w:r>
          </w:p>
        </w:tc>
      </w:tr>
    </w:tbl>
    <w:p>
      <w:pPr>
        <w:spacing w:line="520" w:lineRule="exact"/>
        <w:ind w:right="26"/>
        <w:jc w:val="center"/>
        <w:rPr>
          <w:rFonts w:ascii="Times New Roman" w:hAnsi="Times New Roman" w:eastAsia="黑体"/>
          <w:kern w:val="0"/>
          <w:sz w:val="28"/>
          <w:szCs w:val="28"/>
        </w:rPr>
      </w:pPr>
    </w:p>
    <w:p>
      <w:pPr>
        <w:spacing w:line="520" w:lineRule="exact"/>
        <w:ind w:right="26"/>
        <w:jc w:val="center"/>
        <w:rPr>
          <w:rFonts w:ascii="Times New Roman" w:hAnsi="Times New Roman" w:eastAsia="黑体"/>
          <w:kern w:val="0"/>
          <w:sz w:val="28"/>
          <w:szCs w:val="28"/>
        </w:rPr>
      </w:pPr>
    </w:p>
    <w:p>
      <w:pPr>
        <w:spacing w:line="520" w:lineRule="exact"/>
        <w:ind w:right="26"/>
        <w:jc w:val="center"/>
        <w:rPr>
          <w:rFonts w:ascii="Times New Roman" w:hAnsi="Times New Roman" w:eastAsia="黑体"/>
          <w:kern w:val="0"/>
          <w:sz w:val="28"/>
          <w:szCs w:val="28"/>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snapToGrid w:val="0"/>
        <w:rPr>
          <w:rFonts w:ascii="Times New Roman" w:hAnsi="Times New Roman" w:eastAsia="黑体"/>
          <w:sz w:val="32"/>
          <w:szCs w:val="32"/>
        </w:rPr>
      </w:pPr>
      <w:r>
        <w:rPr>
          <w:rFonts w:ascii="Times New Roman" w:hAnsi="Times New Roman" w:eastAsia="黑体"/>
          <w:sz w:val="32"/>
          <w:szCs w:val="32"/>
        </w:rPr>
        <w:t>附件3</w:t>
      </w:r>
    </w:p>
    <w:p>
      <w:pPr>
        <w:snapToGrid w:val="0"/>
        <w:rPr>
          <w:rFonts w:ascii="Times New Roman" w:hAnsi="Times New Roman" w:eastAsia="黑体"/>
          <w:sz w:val="32"/>
          <w:szCs w:val="32"/>
        </w:rPr>
      </w:pP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年职业教育国家在线精品课程推荐</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单位联系人信息表</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ascii="Times New Roman" w:hAnsi="Times New Roman" w:eastAsia="方正小标宋简体"/>
          <w:sz w:val="44"/>
          <w:szCs w:val="44"/>
        </w:rPr>
        <w:t>省级教育行政部门</w:t>
      </w:r>
      <w:r>
        <w:rPr>
          <w:rFonts w:hint="eastAsia" w:ascii="Times New Roman" w:hAnsi="Times New Roman" w:eastAsia="方正小标宋简体"/>
          <w:sz w:val="44"/>
          <w:szCs w:val="44"/>
        </w:rPr>
        <w:t>）</w:t>
      </w:r>
    </w:p>
    <w:p>
      <w:pPr>
        <w:jc w:val="right"/>
        <w:rPr>
          <w:rFonts w:ascii="Times New Roman" w:hAnsi="Times New Roman" w:eastAsia="仿宋_GB2312"/>
          <w:sz w:val="32"/>
          <w:szCs w:val="32"/>
        </w:rPr>
      </w:pPr>
      <w:r>
        <w:rPr>
          <w:rFonts w:ascii="Times New Roman" w:hAnsi="Times New Roman" w:eastAsia="仿宋_GB2312"/>
          <w:sz w:val="32"/>
          <w:szCs w:val="32"/>
        </w:rPr>
        <w:t>年  月  日</w:t>
      </w:r>
    </w:p>
    <w:tbl>
      <w:tblPr>
        <w:tblStyle w:val="5"/>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省级教育行政部门名称</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邮编</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snapToGrid w:val="0"/>
              <w:jc w:val="center"/>
              <w:rPr>
                <w:rFonts w:ascii="Times New Roman" w:hAnsi="Times New Roman" w:eastAsia="仿宋_GB2312"/>
                <w:sz w:val="24"/>
              </w:rPr>
            </w:pPr>
            <w:r>
              <w:rPr>
                <w:rFonts w:ascii="Times New Roman" w:hAnsi="Times New Roman" w:eastAsia="仿宋_GB2312"/>
                <w:sz w:val="24"/>
              </w:rPr>
              <w:t>负责处室名称</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联系人姓名</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职务</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办公电话</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移动电话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电子邮箱</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邮寄地址</w:t>
            </w:r>
          </w:p>
        </w:tc>
        <w:tc>
          <w:tcPr>
            <w:tcW w:w="6742" w:type="dxa"/>
            <w:gridSpan w:val="3"/>
            <w:vAlign w:val="center"/>
          </w:tcPr>
          <w:p>
            <w:pPr>
              <w:jc w:val="center"/>
              <w:rPr>
                <w:rFonts w:ascii="Times New Roman" w:hAnsi="Times New Roman" w:eastAsia="仿宋_GB2312"/>
                <w:sz w:val="24"/>
              </w:rPr>
            </w:pPr>
          </w:p>
        </w:tc>
      </w:tr>
    </w:tbl>
    <w:p>
      <w:pPr>
        <w:rPr>
          <w:rFonts w:ascii="Times New Roman" w:hAnsi="Times New Roman" w:eastAsia="黑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jc w:val="left"/>
        <w:rPr>
          <w:rFonts w:ascii="Times New Roman" w:hAnsi="Times New Roman"/>
          <w:b/>
          <w:bCs/>
          <w:sz w:val="36"/>
          <w:szCs w:val="36"/>
        </w:rPr>
      </w:pPr>
      <w:r>
        <w:rPr>
          <w:rFonts w:ascii="Times New Roman" w:hAnsi="Times New Roman"/>
          <w:b/>
          <w:bCs/>
          <w:sz w:val="36"/>
          <w:szCs w:val="36"/>
        </w:rPr>
        <w:br w:type="page"/>
      </w:r>
    </w:p>
    <w:p>
      <w:pPr>
        <w:snapToGrid w:val="0"/>
        <w:jc w:val="center"/>
        <w:rPr>
          <w:rFonts w:ascii="Times New Roman" w:hAnsi="Times New Roman" w:eastAsia="方正小标宋简体"/>
          <w:sz w:val="44"/>
          <w:szCs w:val="44"/>
        </w:rPr>
      </w:pPr>
    </w:p>
    <w:p>
      <w:pPr>
        <w:snapToGrid w:val="0"/>
        <w:jc w:val="center"/>
        <w:rPr>
          <w:rFonts w:ascii="Times New Roman" w:hAnsi="Times New Roman" w:eastAsia="方正小标宋简体"/>
          <w:sz w:val="44"/>
          <w:szCs w:val="44"/>
        </w:rPr>
      </w:pPr>
      <w:bookmarkStart w:id="0" w:name="_Hlk137314875"/>
      <w:r>
        <w:rPr>
          <w:rFonts w:ascii="Times New Roman" w:hAnsi="Times New Roman" w:eastAsia="方正小标宋简体"/>
          <w:sz w:val="44"/>
          <w:szCs w:val="44"/>
        </w:rPr>
        <w:t>2023年职业教育国家在线精品课程推荐</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单位联系人信息表</w:t>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w:t>
      </w:r>
      <w:r>
        <w:rPr>
          <w:rFonts w:ascii="Times New Roman" w:hAnsi="Times New Roman" w:eastAsia="方正小标宋简体"/>
          <w:sz w:val="44"/>
          <w:szCs w:val="44"/>
        </w:rPr>
        <w:t>行指委、教指委</w:t>
      </w:r>
      <w:r>
        <w:rPr>
          <w:rFonts w:hint="eastAsia" w:ascii="Times New Roman" w:hAnsi="Times New Roman" w:eastAsia="方正小标宋简体"/>
          <w:sz w:val="44"/>
          <w:szCs w:val="44"/>
        </w:rPr>
        <w:t>）</w:t>
      </w:r>
    </w:p>
    <w:p>
      <w:pPr>
        <w:jc w:val="right"/>
        <w:rPr>
          <w:rFonts w:ascii="Times New Roman" w:hAnsi="Times New Roman"/>
          <w:sz w:val="32"/>
          <w:szCs w:val="32"/>
        </w:rPr>
      </w:pPr>
      <w:r>
        <w:rPr>
          <w:rFonts w:ascii="Times New Roman" w:hAnsi="Times New Roman" w:eastAsia="仿宋_GB2312"/>
          <w:sz w:val="32"/>
          <w:szCs w:val="32"/>
        </w:rPr>
        <w:t>年  月  日</w:t>
      </w:r>
    </w:p>
    <w:tbl>
      <w:tblPr>
        <w:tblStyle w:val="5"/>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行指委、教指委</w:t>
            </w:r>
          </w:p>
          <w:p>
            <w:pPr>
              <w:jc w:val="center"/>
              <w:rPr>
                <w:rFonts w:ascii="Times New Roman" w:hAnsi="Times New Roman" w:eastAsia="仿宋_GB2312"/>
                <w:sz w:val="24"/>
              </w:rPr>
            </w:pPr>
            <w:r>
              <w:rPr>
                <w:rFonts w:ascii="Times New Roman" w:hAnsi="Times New Roman" w:eastAsia="仿宋_GB2312"/>
                <w:sz w:val="24"/>
              </w:rPr>
              <w:t>名称</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邮编</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联系人姓名</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职务</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办公电话</w:t>
            </w:r>
          </w:p>
        </w:tc>
        <w:tc>
          <w:tcPr>
            <w:tcW w:w="2551" w:type="dxa"/>
            <w:vAlign w:val="center"/>
          </w:tcPr>
          <w:p>
            <w:pPr>
              <w:jc w:val="center"/>
              <w:rPr>
                <w:rFonts w:ascii="Times New Roman" w:hAnsi="Times New Roman" w:eastAsia="仿宋_GB2312"/>
                <w:sz w:val="24"/>
              </w:rPr>
            </w:pP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移动电话</w:t>
            </w:r>
          </w:p>
        </w:tc>
        <w:tc>
          <w:tcPr>
            <w:tcW w:w="2490" w:type="dxa"/>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电子邮箱</w:t>
            </w:r>
          </w:p>
        </w:tc>
        <w:tc>
          <w:tcPr>
            <w:tcW w:w="6742" w:type="dxa"/>
            <w:gridSpan w:val="3"/>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vAlign w:val="center"/>
          </w:tcPr>
          <w:p>
            <w:pPr>
              <w:jc w:val="center"/>
              <w:rPr>
                <w:rFonts w:ascii="Times New Roman" w:hAnsi="Times New Roman" w:eastAsia="仿宋_GB2312"/>
                <w:sz w:val="24"/>
              </w:rPr>
            </w:pPr>
            <w:r>
              <w:rPr>
                <w:rFonts w:ascii="Times New Roman" w:hAnsi="Times New Roman" w:eastAsia="仿宋_GB2312"/>
                <w:sz w:val="24"/>
              </w:rPr>
              <w:t>邮寄地址</w:t>
            </w:r>
          </w:p>
        </w:tc>
        <w:tc>
          <w:tcPr>
            <w:tcW w:w="6742" w:type="dxa"/>
            <w:gridSpan w:val="3"/>
            <w:vAlign w:val="center"/>
          </w:tcPr>
          <w:p>
            <w:pPr>
              <w:jc w:val="center"/>
              <w:rPr>
                <w:rFonts w:ascii="Times New Roman" w:hAnsi="Times New Roman" w:eastAsia="仿宋_GB2312"/>
                <w:sz w:val="24"/>
              </w:rPr>
            </w:pPr>
          </w:p>
        </w:tc>
      </w:tr>
      <w:bookmarkEnd w:id="0"/>
    </w:tbl>
    <w:p/>
    <w:p/>
    <w:p>
      <w:pPr>
        <w:widowControl/>
        <w:jc w:val="left"/>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黑体"/>
          <w:sz w:val="32"/>
          <w:szCs w:val="32"/>
        </w:rPr>
      </w:pPr>
    </w:p>
    <w:p>
      <w:pPr>
        <w:jc w:val="left"/>
        <w:rPr>
          <w:rFonts w:ascii="Times New Roman" w:hAnsi="Times New Roman" w:eastAsia="方正小标宋简体"/>
          <w:b/>
          <w:bCs/>
          <w:sz w:val="36"/>
          <w:szCs w:val="36"/>
        </w:rPr>
      </w:pPr>
      <w:bookmarkStart w:id="1" w:name="_GoBack"/>
      <w:bookmarkEnd w:id="1"/>
      <w:r>
        <w:rPr>
          <w:rFonts w:ascii="Times New Roman" w:hAnsi="Times New Roman" w:eastAsia="黑体"/>
          <w:sz w:val="32"/>
          <w:szCs w:val="32"/>
        </w:rPr>
        <w:t>附件4</w:t>
      </w:r>
      <w:r>
        <w:rPr>
          <w:rFonts w:ascii="Times New Roman" w:hAnsi="Times New Roman" w:eastAsia="黑体"/>
          <w:sz w:val="32"/>
          <w:szCs w:val="36"/>
        </w:rPr>
        <w:t xml:space="preserve">    </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jc w:val="left"/>
        <w:rPr>
          <w:rFonts w:ascii="Times New Roman" w:hAnsi="Times New Roman" w:eastAsia="黑体"/>
          <w:sz w:val="32"/>
          <w:szCs w:val="36"/>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w:t>
      </w:r>
      <w:r>
        <w:rPr>
          <w:rFonts w:hint="eastAsia" w:ascii="Times New Roman" w:hAnsi="Times New Roman" w:eastAsia="黑体"/>
          <w:sz w:val="32"/>
          <w:szCs w:val="32"/>
        </w:rPr>
        <w:t>三</w:t>
      </w:r>
      <w:r>
        <w:rPr>
          <w:rFonts w:ascii="Times New Roman" w:hAnsi="Times New Roman" w:eastAsia="黑体"/>
          <w:sz w:val="32"/>
          <w:szCs w:val="32"/>
        </w:rPr>
        <w:t>年</w:t>
      </w:r>
      <w:r>
        <w:rPr>
          <w:rFonts w:hint="eastAsia" w:ascii="Times New Roman" w:hAnsi="Times New Roman" w:eastAsia="黑体"/>
          <w:sz w:val="32"/>
          <w:szCs w:val="32"/>
          <w:lang w:val="en-US" w:eastAsia="zh-CN"/>
        </w:rPr>
        <w:t>十二</w:t>
      </w:r>
      <w:r>
        <w:rPr>
          <w:rFonts w:ascii="Times New Roman" w:hAnsi="Times New Roman" w:eastAsia="黑体"/>
          <w:sz w:val="32"/>
          <w:szCs w:val="32"/>
          <w:highlight w:val="none"/>
        </w:rPr>
        <w:t>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40"/>
          <w:szCs w:val="40"/>
        </w:rPr>
      </w:pPr>
      <w:r>
        <w:rPr>
          <w:rFonts w:ascii="Times New Roman" w:hAnsi="Times New Roman" w:eastAsia="方正小标宋简体"/>
          <w:sz w:val="40"/>
          <w:szCs w:val="40"/>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5.封面填报“主要开课平台”时，如该课程在多个平台运行时，限填课程运行的一个主要平台。</w:t>
      </w:r>
    </w:p>
    <w:p>
      <w:pPr>
        <w:pStyle w:val="10"/>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○中职    ○高职专科    ○</w:t>
            </w:r>
            <w:r>
              <w:rPr>
                <w:rFonts w:hint="eastAsia" w:ascii="仿宋_GB2312" w:hAnsi="仿宋_GB2312" w:eastAsia="仿宋_GB2312" w:cs="仿宋_GB2312"/>
                <w:kern w:val="0"/>
                <w:sz w:val="24"/>
                <w:lang w:eastAsia="zh-CN"/>
              </w:rPr>
              <w:t>职业本科</w:t>
            </w:r>
          </w:p>
          <w:p>
            <w:pPr>
              <w:snapToGrid w:val="0"/>
              <w:spacing w:line="32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eastAsia="zh-CN"/>
              </w:rPr>
              <w:t>（</w:t>
            </w:r>
            <w:r>
              <w:rPr>
                <w:rFonts w:hint="eastAsia" w:ascii="仿宋_GB2312" w:hAnsi="仿宋_GB2312" w:eastAsia="仿宋_GB2312" w:cs="仿宋_GB2312"/>
                <w:kern w:val="0"/>
                <w:sz w:val="24"/>
              </w:rPr>
              <w:t>中高职贯通培养课程根据实际情况归入</w:t>
            </w:r>
            <w:r>
              <w:rPr>
                <w:rFonts w:hint="eastAsia" w:ascii="仿宋_GB2312" w:hAnsi="仿宋_GB2312" w:eastAsia="仿宋_GB2312" w:cs="仿宋_GB2312"/>
                <w:kern w:val="0"/>
                <w:sz w:val="24"/>
                <w:lang w:val="en-US" w:eastAsia="zh-CN"/>
              </w:rPr>
              <w:t>中职</w:t>
            </w:r>
            <w:r>
              <w:rPr>
                <w:rFonts w:hint="eastAsia" w:ascii="仿宋_GB2312" w:hAnsi="仿宋_GB2312" w:eastAsia="仿宋_GB2312" w:cs="仿宋_GB2312"/>
                <w:kern w:val="0"/>
                <w:sz w:val="24"/>
              </w:rPr>
              <w:t>或</w:t>
            </w:r>
            <w:r>
              <w:rPr>
                <w:rFonts w:hint="eastAsia" w:ascii="仿宋_GB2312" w:hAnsi="仿宋_GB2312" w:eastAsia="仿宋_GB2312" w:cs="仿宋_GB2312"/>
                <w:kern w:val="0"/>
                <w:sz w:val="24"/>
                <w:lang w:val="en-US" w:eastAsia="zh-CN"/>
              </w:rPr>
              <w:t>高职专科</w:t>
            </w:r>
            <w:r>
              <w:rPr>
                <w:rFonts w:hint="eastAsia" w:ascii="仿宋_GB2312" w:hAnsi="仿宋_GB2312" w:eastAsia="仿宋_GB2312" w:cs="仿宋_GB2312"/>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□专业基础课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□专业核心课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□专业拓展课</w:t>
            </w:r>
            <w:r>
              <w:rPr>
                <w:rFonts w:hint="eastAsia" w:ascii="仿宋_GB2312" w:hAnsi="仿宋_GB2312" w:eastAsia="仿宋_GB2312" w:cs="仿宋_GB2312"/>
                <w:kern w:val="0"/>
                <w:sz w:val="24"/>
                <w:lang w:val="en-US" w:eastAsia="zh-CN"/>
              </w:rPr>
              <w:t>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□实习实训类</w:t>
            </w:r>
            <w:r>
              <w:rPr>
                <w:rFonts w:hint="eastAsia" w:ascii="仿宋_GB2312" w:hAnsi="仿宋_GB2312" w:eastAsia="仿宋_GB2312" w:cs="仿宋_GB2312"/>
                <w:kern w:val="0"/>
                <w:sz w:val="24"/>
                <w:lang w:val="en-US" w:eastAsia="zh-CN"/>
              </w:rPr>
              <w:t>课程</w:t>
            </w:r>
          </w:p>
          <w:p>
            <w:pPr>
              <w:snapToGrid w:val="0"/>
              <w:spacing w:line="320" w:lineRule="exact"/>
              <w:jc w:val="left"/>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□其他</w:t>
            </w:r>
            <w:r>
              <w:rPr>
                <w:rFonts w:hint="eastAsia" w:ascii="仿宋_GB2312" w:hAnsi="仿宋_GB2312" w:eastAsia="仿宋_GB2312" w:cs="仿宋_GB2312"/>
                <w:kern w:val="0"/>
                <w:sz w:val="24"/>
                <w:lang w:val="en-US" w:eastAsia="zh-CN"/>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是否为校企共建或“职教出海”课程</w:t>
            </w:r>
          </w:p>
        </w:tc>
        <w:tc>
          <w:tcPr>
            <w:tcW w:w="5897" w:type="dxa"/>
            <w:gridSpan w:val="3"/>
            <w:vAlign w:val="center"/>
          </w:tcPr>
          <w:p>
            <w:pPr>
              <w:spacing w:line="340" w:lineRule="exact"/>
              <w:jc w:val="left"/>
              <w:rPr>
                <w:rFonts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lang w:eastAsia="zh-CN"/>
              </w:rPr>
              <w:t>（</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 xml:space="preserve">校企共建 </w:t>
            </w:r>
            <w:r>
              <w:rPr>
                <w:rFonts w:hint="eastAsia" w:ascii="仿宋_GB2312" w:hAnsi="仿宋_GB2312" w:eastAsia="仿宋_GB2312" w:cs="仿宋_GB2312"/>
                <w:kern w:val="0"/>
                <w:sz w:val="24"/>
              </w:rPr>
              <w:t>□</w:t>
            </w:r>
            <w:r>
              <w:rPr>
                <w:rFonts w:hint="eastAsia" w:ascii="Times New Roman" w:hAnsi="Times New Roman" w:eastAsia="仿宋_GB2312"/>
                <w:kern w:val="0"/>
                <w:sz w:val="24"/>
                <w:highlight w:val="none"/>
                <w:lang w:val="en-US" w:eastAsia="zh-CN"/>
              </w:rPr>
              <w:t>职教出海</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 xml:space="preserve">  </w:t>
            </w: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否</w:t>
            </w:r>
          </w:p>
          <w:p>
            <w:pPr>
              <w:spacing w:line="340" w:lineRule="exact"/>
              <w:jc w:val="left"/>
              <w:rPr>
                <w:rFonts w:hint="eastAsia"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（需按照《证明材料清单》要求提供详细材料）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Align w:val="center"/>
          </w:tcPr>
          <w:p>
            <w:pPr>
              <w:spacing w:line="340" w:lineRule="exact"/>
              <w:jc w:val="center"/>
              <w:rPr>
                <w:rFonts w:hint="default" w:ascii="Times New Roman" w:hAnsi="Times New Roman" w:eastAsia="仿宋_GB2312"/>
                <w:kern w:val="0"/>
                <w:sz w:val="24"/>
                <w:highlight w:val="none"/>
                <w:lang w:val="en-US" w:eastAsia="zh-CN"/>
              </w:rPr>
            </w:pPr>
            <w:r>
              <w:rPr>
                <w:rFonts w:hint="eastAsia" w:ascii="Times New Roman" w:hAnsi="Times New Roman" w:eastAsia="仿宋_GB2312"/>
                <w:kern w:val="0"/>
                <w:sz w:val="24"/>
                <w:highlight w:val="none"/>
                <w:lang w:val="en-US" w:eastAsia="zh-CN"/>
              </w:rPr>
              <w:t>是否曾申报2022年职业教育国家在线精品课程</w:t>
            </w:r>
          </w:p>
        </w:tc>
        <w:tc>
          <w:tcPr>
            <w:tcW w:w="5897" w:type="dxa"/>
            <w:gridSpan w:val="3"/>
            <w:vAlign w:val="center"/>
          </w:tcPr>
          <w:p>
            <w:pPr>
              <w:spacing w:line="340" w:lineRule="exact"/>
              <w:jc w:val="left"/>
              <w:rPr>
                <w:rFonts w:hint="eastAsia" w:ascii="Times New Roman" w:hAnsi="Times New Roman" w:eastAsia="仿宋_GB2312"/>
                <w:kern w:val="0"/>
                <w:sz w:val="24"/>
                <w:highlight w:val="none"/>
              </w:rPr>
            </w:pPr>
            <w:r>
              <w:rPr>
                <w:rFonts w:hint="eastAsia" w:ascii="Times New Roman" w:hAnsi="Times New Roman" w:eastAsia="仿宋_GB2312"/>
                <w:kern w:val="0"/>
                <w:sz w:val="24"/>
                <w:highlight w:val="none"/>
              </w:rPr>
              <w:t>○</w:t>
            </w:r>
            <w:r>
              <w:rPr>
                <w:rFonts w:ascii="Times New Roman" w:hAnsi="Times New Roman" w:eastAsia="仿宋_GB2312"/>
                <w:kern w:val="0"/>
                <w:sz w:val="24"/>
                <w:highlight w:val="none"/>
              </w:rPr>
              <w:t>是</w:t>
            </w:r>
            <w:r>
              <w:rPr>
                <w:rFonts w:hint="eastAsia" w:ascii="Times New Roman" w:hAnsi="Times New Roman" w:eastAsia="仿宋_GB2312"/>
                <w:kern w:val="0"/>
                <w:sz w:val="24"/>
                <w:highlight w:val="none"/>
              </w:rPr>
              <w:t xml:space="preserve">  ○</w:t>
            </w:r>
            <w:r>
              <w:rPr>
                <w:rFonts w:ascii="Times New Roman" w:hAnsi="Times New Roman" w:eastAsia="仿宋_GB2312"/>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sz w:val="24"/>
              </w:rPr>
              <w:t>课程运行平台链接及</w:t>
            </w:r>
            <w:r>
              <w:rPr>
                <w:rFonts w:hint="eastAsia" w:ascii="Times New Roman" w:hAnsi="Times New Roman" w:eastAsia="仿宋_GB2312"/>
                <w:sz w:val="24"/>
              </w:rPr>
              <w:t>评审</w:t>
            </w:r>
            <w:r>
              <w:rPr>
                <w:rFonts w:ascii="Times New Roman" w:hAnsi="Times New Roman" w:eastAsia="仿宋_GB2312"/>
                <w:sz w:val="24"/>
              </w:rPr>
              <w:t>账号密码等</w:t>
            </w:r>
          </w:p>
        </w:tc>
        <w:tc>
          <w:tcPr>
            <w:tcW w:w="5897" w:type="dxa"/>
            <w:gridSpan w:val="3"/>
            <w:vAlign w:val="center"/>
          </w:tcPr>
          <w:p>
            <w:pPr>
              <w:spacing w:line="340" w:lineRule="exact"/>
              <w:rPr>
                <w:rFonts w:hint="eastAsia" w:ascii="Times New Roman" w:hAnsi="Times New Roman" w:eastAsia="仿宋_GB2312"/>
                <w:kern w:val="0"/>
                <w:sz w:val="24"/>
                <w:highlight w:val="yellow"/>
                <w:lang w:eastAsia="zh-CN"/>
              </w:rPr>
            </w:pPr>
            <w:r>
              <w:rPr>
                <w:rFonts w:ascii="Times New Roman" w:hAnsi="Times New Roman" w:eastAsia="仿宋_GB2312"/>
                <w:kern w:val="0"/>
                <w:sz w:val="24"/>
                <w:highlight w:val="none"/>
              </w:rPr>
              <w:t>主要开课平台：</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限一个</w:t>
            </w:r>
            <w:r>
              <w:rPr>
                <w:rFonts w:hint="eastAsia" w:ascii="Times New Roman" w:hAnsi="Times New Roman" w:eastAsia="仿宋_GB2312"/>
                <w:kern w:val="0"/>
                <w:sz w:val="24"/>
                <w:highlight w:val="none"/>
                <w:lang w:eastAsia="zh-CN"/>
              </w:rPr>
              <w:t>）</w:t>
            </w:r>
          </w:p>
          <w:p>
            <w:pPr>
              <w:spacing w:line="340" w:lineRule="exact"/>
              <w:rPr>
                <w:rFonts w:ascii="Times New Roman" w:hAnsi="Times New Roman" w:eastAsia="仿宋_GB2312"/>
                <w:kern w:val="0"/>
                <w:sz w:val="24"/>
              </w:rPr>
            </w:pPr>
            <w:r>
              <w:rPr>
                <w:rFonts w:ascii="Times New Roman" w:hAnsi="Times New Roman" w:eastAsia="仿宋_GB2312"/>
                <w:kern w:val="0"/>
                <w:sz w:val="24"/>
              </w:rPr>
              <w:t>其他开课平台：</w:t>
            </w:r>
          </w:p>
        </w:tc>
      </w:tr>
    </w:tbl>
    <w:p>
      <w:pPr>
        <w:numPr>
          <w:ilvl w:val="255"/>
          <w:numId w:val="0"/>
        </w:numPr>
        <w:rPr>
          <w:rFonts w:ascii="Times New Roman" w:hAnsi="Times New Roman" w:eastAsia="黑体"/>
          <w:sz w:val="28"/>
          <w:szCs w:val="28"/>
        </w:rPr>
      </w:pPr>
    </w:p>
    <w:p>
      <w:pPr>
        <w:numPr>
          <w:ilvl w:val="255"/>
          <w:numId w:val="0"/>
        </w:numPr>
        <w:rPr>
          <w:rFonts w:ascii="Times New Roman" w:hAnsi="Times New Roman" w:eastAsia="黑体"/>
          <w:sz w:val="28"/>
          <w:szCs w:val="28"/>
        </w:rPr>
      </w:pPr>
      <w:r>
        <w:rPr>
          <w:rFonts w:ascii="Times New Roman" w:hAnsi="Times New Roman" w:eastAsia="黑体"/>
          <w:sz w:val="28"/>
          <w:szCs w:val="28"/>
        </w:rPr>
        <w:t>二、</w:t>
      </w:r>
      <w:r>
        <w:rPr>
          <w:rFonts w:hint="eastAsia" w:ascii="Times New Roman" w:hAnsi="Times New Roman" w:eastAsia="黑体"/>
          <w:sz w:val="28"/>
          <w:szCs w:val="28"/>
          <w:lang w:val="en-US" w:eastAsia="zh-CN"/>
        </w:rPr>
        <w:t>授课教师</w:t>
      </w:r>
      <w:r>
        <w:rPr>
          <w:rFonts w:ascii="Times New Roman" w:hAnsi="Times New Roman" w:eastAsia="黑体"/>
          <w:sz w:val="28"/>
          <w:szCs w:val="28"/>
        </w:rPr>
        <w:t>团队</w:t>
      </w:r>
    </w:p>
    <w:tbl>
      <w:tblPr>
        <w:tblStyle w:val="6"/>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700"/>
        <w:gridCol w:w="887"/>
        <w:gridCol w:w="761"/>
        <w:gridCol w:w="775"/>
        <w:gridCol w:w="725"/>
        <w:gridCol w:w="863"/>
        <w:gridCol w:w="862"/>
        <w:gridCol w:w="87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vAlign w:val="center"/>
          </w:tcPr>
          <w:p>
            <w:pPr>
              <w:spacing w:line="340" w:lineRule="atLeast"/>
              <w:jc w:val="center"/>
              <w:rPr>
                <w:rFonts w:ascii="Times New Roman" w:hAnsi="Times New Roman" w:eastAsia="黑体"/>
                <w:kern w:val="0"/>
                <w:sz w:val="24"/>
              </w:rPr>
            </w:pPr>
            <w:r>
              <w:rPr>
                <w:rFonts w:ascii="Times New Roman" w:hAnsi="Times New Roman" w:eastAsia="黑体"/>
                <w:kern w:val="0"/>
                <w:sz w:val="24"/>
              </w:rPr>
              <w:t>主要成员（序号1为课程负责人，总人数限</w:t>
            </w:r>
            <w:r>
              <w:rPr>
                <w:rFonts w:hint="eastAsia" w:ascii="Times New Roman" w:hAnsi="Times New Roman" w:eastAsia="黑体"/>
                <w:kern w:val="0"/>
                <w:sz w:val="24"/>
                <w:lang w:val="en-US" w:eastAsia="zh-CN"/>
              </w:rPr>
              <w:t>5</w:t>
            </w:r>
            <w:r>
              <w:rPr>
                <w:rFonts w:ascii="Times New Roman" w:hAnsi="Times New Roman" w:eastAsia="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序号</w:t>
            </w:r>
          </w:p>
        </w:tc>
        <w:tc>
          <w:tcPr>
            <w:tcW w:w="700"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姓名</w:t>
            </w:r>
          </w:p>
        </w:tc>
        <w:tc>
          <w:tcPr>
            <w:tcW w:w="887"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出生年月</w:t>
            </w:r>
          </w:p>
        </w:tc>
        <w:tc>
          <w:tcPr>
            <w:tcW w:w="761"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单位</w:t>
            </w:r>
          </w:p>
        </w:tc>
        <w:tc>
          <w:tcPr>
            <w:tcW w:w="77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职务</w:t>
            </w:r>
          </w:p>
        </w:tc>
        <w:tc>
          <w:tcPr>
            <w:tcW w:w="725"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职称</w:t>
            </w:r>
          </w:p>
        </w:tc>
        <w:tc>
          <w:tcPr>
            <w:tcW w:w="863"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862" w:type="dxa"/>
            <w:vAlign w:val="center"/>
          </w:tcPr>
          <w:p>
            <w:pPr>
              <w:adjustRightInd w:val="0"/>
              <w:snapToGrid w:val="0"/>
              <w:spacing w:line="240" w:lineRule="auto"/>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875"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ascii="Times New Roman" w:hAnsi="Times New Roman" w:eastAsia="仿宋_GB2312"/>
                <w:kern w:val="0"/>
                <w:sz w:val="24"/>
              </w:rPr>
              <w:t>授课任务</w:t>
            </w:r>
          </w:p>
        </w:tc>
        <w:tc>
          <w:tcPr>
            <w:tcW w:w="1538" w:type="dxa"/>
            <w:vAlign w:val="center"/>
          </w:tcPr>
          <w:p>
            <w:pPr>
              <w:adjustRightInd w:val="0"/>
              <w:snapToGrid w:val="0"/>
              <w:spacing w:line="240" w:lineRule="auto"/>
              <w:jc w:val="center"/>
              <w:rPr>
                <w:rFonts w:hint="default"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是否为“双师型教师”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1"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00" w:type="dxa"/>
            <w:vAlign w:val="center"/>
          </w:tcPr>
          <w:p>
            <w:pPr>
              <w:spacing w:line="340" w:lineRule="atLeast"/>
              <w:rPr>
                <w:rFonts w:ascii="Times New Roman" w:hAnsi="Times New Roman" w:eastAsia="仿宋_GB2312"/>
                <w:kern w:val="0"/>
                <w:sz w:val="24"/>
              </w:rPr>
            </w:pPr>
          </w:p>
        </w:tc>
        <w:tc>
          <w:tcPr>
            <w:tcW w:w="887" w:type="dxa"/>
            <w:vAlign w:val="center"/>
          </w:tcPr>
          <w:p>
            <w:pPr>
              <w:spacing w:line="340" w:lineRule="atLeast"/>
              <w:rPr>
                <w:rFonts w:ascii="Times New Roman" w:hAnsi="Times New Roman" w:eastAsia="仿宋_GB2312"/>
                <w:kern w:val="0"/>
                <w:sz w:val="24"/>
              </w:rPr>
            </w:pPr>
          </w:p>
        </w:tc>
        <w:tc>
          <w:tcPr>
            <w:tcW w:w="761" w:type="dxa"/>
            <w:vAlign w:val="center"/>
          </w:tcPr>
          <w:p>
            <w:pPr>
              <w:spacing w:line="340" w:lineRule="atLeast"/>
              <w:rPr>
                <w:rFonts w:ascii="Times New Roman" w:hAnsi="Times New Roman" w:eastAsia="仿宋_GB2312"/>
                <w:kern w:val="0"/>
                <w:sz w:val="24"/>
              </w:rPr>
            </w:pPr>
          </w:p>
        </w:tc>
        <w:tc>
          <w:tcPr>
            <w:tcW w:w="775" w:type="dxa"/>
            <w:vAlign w:val="center"/>
          </w:tcPr>
          <w:p>
            <w:pPr>
              <w:spacing w:line="340" w:lineRule="atLeast"/>
              <w:rPr>
                <w:rFonts w:ascii="Times New Roman" w:hAnsi="Times New Roman" w:eastAsia="仿宋_GB2312"/>
                <w:kern w:val="0"/>
                <w:sz w:val="24"/>
              </w:rPr>
            </w:pPr>
          </w:p>
        </w:tc>
        <w:tc>
          <w:tcPr>
            <w:tcW w:w="725" w:type="dxa"/>
            <w:vAlign w:val="center"/>
          </w:tcPr>
          <w:p>
            <w:pPr>
              <w:spacing w:line="340" w:lineRule="atLeast"/>
              <w:rPr>
                <w:rFonts w:ascii="Times New Roman" w:hAnsi="Times New Roman" w:eastAsia="仿宋_GB2312"/>
                <w:kern w:val="0"/>
                <w:sz w:val="24"/>
              </w:rPr>
            </w:pPr>
          </w:p>
        </w:tc>
        <w:tc>
          <w:tcPr>
            <w:tcW w:w="863" w:type="dxa"/>
            <w:vAlign w:val="center"/>
          </w:tcPr>
          <w:p>
            <w:pPr>
              <w:spacing w:line="340" w:lineRule="atLeast"/>
              <w:rPr>
                <w:rFonts w:ascii="Times New Roman" w:hAnsi="Times New Roman" w:eastAsia="仿宋_GB2312"/>
                <w:kern w:val="0"/>
                <w:sz w:val="24"/>
              </w:rPr>
            </w:pPr>
          </w:p>
        </w:tc>
        <w:tc>
          <w:tcPr>
            <w:tcW w:w="862" w:type="dxa"/>
            <w:vAlign w:val="center"/>
          </w:tcPr>
          <w:p>
            <w:pPr>
              <w:spacing w:line="340" w:lineRule="atLeast"/>
              <w:rPr>
                <w:rFonts w:ascii="Times New Roman" w:hAnsi="Times New Roman" w:eastAsia="仿宋_GB2312"/>
                <w:kern w:val="0"/>
                <w:sz w:val="24"/>
              </w:rPr>
            </w:pPr>
          </w:p>
        </w:tc>
        <w:tc>
          <w:tcPr>
            <w:tcW w:w="875" w:type="dxa"/>
            <w:vAlign w:val="center"/>
          </w:tcPr>
          <w:p>
            <w:pPr>
              <w:spacing w:line="340" w:lineRule="atLeast"/>
              <w:rPr>
                <w:rFonts w:ascii="Times New Roman" w:hAnsi="Times New Roman" w:eastAsia="仿宋_GB2312"/>
                <w:kern w:val="0"/>
                <w:sz w:val="24"/>
              </w:rPr>
            </w:pPr>
          </w:p>
        </w:tc>
        <w:tc>
          <w:tcPr>
            <w:tcW w:w="1538"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37"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Times New Roman" w:hAnsi="Times New Roman" w:eastAsia="黑体"/>
                <w:kern w:val="0"/>
                <w:sz w:val="24"/>
                <w:lang w:val="en-US" w:eastAsia="zh-CN"/>
              </w:rPr>
            </w:pPr>
            <w:r>
              <w:rPr>
                <w:rFonts w:hint="eastAsia" w:ascii="Times New Roman" w:hAnsi="Times New Roman" w:eastAsia="黑体"/>
                <w:kern w:val="0"/>
                <w:sz w:val="24"/>
                <w:lang w:val="en-US" w:eastAsia="zh-CN"/>
              </w:rPr>
              <w:t>授课教师团队构成及</w:t>
            </w:r>
            <w:r>
              <w:rPr>
                <w:rFonts w:ascii="Times New Roman" w:hAnsi="Times New Roman" w:eastAsia="黑体"/>
                <w:kern w:val="0"/>
                <w:sz w:val="24"/>
              </w:rPr>
              <w:t>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37"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w:t>
            </w:r>
            <w:r>
              <w:rPr>
                <w:rFonts w:hint="eastAsia" w:ascii="Times New Roman" w:hAnsi="Times New Roman" w:eastAsia="仿宋_GB2312"/>
                <w:kern w:val="0"/>
                <w:sz w:val="24"/>
                <w:lang w:val="en-US" w:eastAsia="zh-CN"/>
              </w:rPr>
              <w:t>授课教师团队构成情况，</w:t>
            </w:r>
            <w:r>
              <w:rPr>
                <w:rFonts w:ascii="Times New Roman" w:hAnsi="Times New Roman" w:eastAsia="仿宋_GB2312"/>
                <w:kern w:val="0"/>
                <w:sz w:val="24"/>
              </w:rPr>
              <w:t>近5年来在承担该门课程</w:t>
            </w:r>
            <w:r>
              <w:rPr>
                <w:rFonts w:hint="eastAsia" w:ascii="Times New Roman" w:hAnsi="Times New Roman" w:eastAsia="仿宋_GB2312"/>
                <w:kern w:val="0"/>
                <w:sz w:val="24"/>
                <w:lang w:val="en-US" w:eastAsia="zh-CN"/>
              </w:rPr>
              <w:t>教学、</w:t>
            </w:r>
            <w:r>
              <w:rPr>
                <w:rFonts w:ascii="Times New Roman" w:hAnsi="Times New Roman" w:eastAsia="仿宋_GB2312"/>
                <w:kern w:val="0"/>
                <w:sz w:val="24"/>
              </w:rPr>
              <w:t>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（本课程建设历程、基本信息规范、资源建设应用、管理保障等情况</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highlight w:val="none"/>
                <w:lang w:val="en-US" w:eastAsia="zh-CN"/>
              </w:rPr>
              <w:t>曾申报2022年职业教育国家在线精品课程的，应重点说明2022年遴选后的持续建设和教学资源更新情况。</w:t>
            </w:r>
            <w:r>
              <w:rPr>
                <w:rFonts w:ascii="Times New Roman" w:hAnsi="Times New Roman" w:eastAsia="仿宋_GB2312"/>
                <w:kern w:val="0"/>
                <w:sz w:val="24"/>
                <w:highlight w:val="none"/>
              </w:rPr>
              <w:t>）</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10"/>
        <w:numPr>
          <w:ilvl w:val="255"/>
          <w:numId w:val="0"/>
        </w:numPr>
        <w:spacing w:line="340" w:lineRule="atLeast"/>
        <w:rPr>
          <w:rFonts w:ascii="Times New Roman" w:hAnsi="Times New Roman" w:eastAsia="黑体"/>
          <w:sz w:val="28"/>
          <w:szCs w:val="28"/>
        </w:rPr>
      </w:pPr>
    </w:p>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tc>
      </w:tr>
    </w:tbl>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p>
            <w:pPr>
              <w:pStyle w:val="10"/>
              <w:spacing w:line="340" w:lineRule="atLeast"/>
              <w:ind w:firstLine="0" w:firstLineChars="0"/>
              <w:rPr>
                <w:rFonts w:ascii="Times New Roman" w:hAnsi="Times New Roman" w:eastAsia="Times New Roman"/>
                <w:kern w:val="0"/>
                <w:sz w:val="24"/>
              </w:rPr>
            </w:pPr>
          </w:p>
        </w:tc>
      </w:tr>
    </w:tbl>
    <w:p>
      <w:pPr>
        <w:pStyle w:val="10"/>
        <w:numPr>
          <w:ilvl w:val="255"/>
          <w:numId w:val="0"/>
        </w:numPr>
        <w:adjustRightInd w:val="0"/>
        <w:snapToGrid w:val="0"/>
        <w:spacing w:line="340" w:lineRule="atLeast"/>
        <w:rPr>
          <w:rFonts w:ascii="Times New Roman" w:hAnsi="Times New Roman" w:eastAsia="黑体"/>
          <w:sz w:val="28"/>
          <w:szCs w:val="28"/>
        </w:rPr>
      </w:pPr>
    </w:p>
    <w:p>
      <w:pPr>
        <w:pStyle w:val="10"/>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w:t>
            </w:r>
            <w:r>
              <w:rPr>
                <w:rFonts w:hint="eastAsia" w:ascii="Times New Roman" w:hAnsi="Times New Roman" w:eastAsia="仿宋_GB2312"/>
                <w:kern w:val="0"/>
                <w:sz w:val="24"/>
                <w:lang w:val="en-US" w:eastAsia="zh-CN"/>
              </w:rPr>
              <w:t>无</w:t>
            </w:r>
            <w:r>
              <w:rPr>
                <w:rFonts w:ascii="Times New Roman" w:hAnsi="Times New Roman" w:eastAsia="仿宋_GB2312"/>
                <w:kern w:val="0"/>
                <w:sz w:val="24"/>
              </w:rPr>
              <w:t>涉密及其他不适宜公开传播的内容</w:t>
            </w:r>
            <w:r>
              <w:rPr>
                <w:rFonts w:hint="eastAsia" w:ascii="Times New Roman" w:hAnsi="Times New Roman" w:eastAsia="仿宋_GB2312"/>
                <w:kern w:val="0"/>
                <w:sz w:val="24"/>
                <w:lang w:eastAsia="zh-CN"/>
              </w:rPr>
              <w:t>，</w:t>
            </w:r>
            <w:r>
              <w:rPr>
                <w:rFonts w:ascii="Times New Roman" w:hAnsi="Times New Roman" w:eastAsia="仿宋_GB2312"/>
                <w:kern w:val="0"/>
                <w:sz w:val="24"/>
              </w:rPr>
              <w:t>无</w:t>
            </w:r>
            <w:r>
              <w:rPr>
                <w:rFonts w:hint="eastAsia" w:ascii="Times New Roman" w:hAnsi="Times New Roman" w:eastAsia="仿宋_GB2312"/>
                <w:kern w:val="0"/>
                <w:sz w:val="24"/>
                <w:lang w:val="en-US" w:eastAsia="zh-CN"/>
              </w:rPr>
              <w:t>知识产权问题</w:t>
            </w:r>
            <w:r>
              <w:rPr>
                <w:rFonts w:ascii="Times New Roman" w:hAnsi="Times New Roman" w:eastAsia="仿宋_GB2312"/>
                <w:kern w:val="0"/>
                <w:sz w:val="24"/>
              </w:rPr>
              <w:t>。</w:t>
            </w: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adjustRightInd w:val="0"/>
              <w:snapToGrid w:val="0"/>
              <w:spacing w:before="624" w:beforeLines="200" w:after="312"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w:t>
            </w:r>
            <w:r>
              <w:rPr>
                <w:rFonts w:hint="eastAsia" w:ascii="Times New Roman" w:hAnsi="Times New Roman" w:eastAsia="仿宋_GB2312"/>
                <w:kern w:val="0"/>
                <w:sz w:val="24"/>
                <w:lang w:val="en-US" w:eastAsia="zh-CN"/>
              </w:rPr>
              <w:t>较大以上</w:t>
            </w:r>
            <w:r>
              <w:rPr>
                <w:rFonts w:ascii="Times New Roman" w:hAnsi="Times New Roman" w:eastAsia="仿宋_GB2312"/>
                <w:kern w:val="0"/>
                <w:sz w:val="24"/>
              </w:rPr>
              <w:t>教学事故</w:t>
            </w:r>
            <w:r>
              <w:rPr>
                <w:rFonts w:hint="eastAsia" w:ascii="Times New Roman" w:hAnsi="Times New Roman" w:eastAsia="仿宋_GB2312"/>
                <w:kern w:val="0"/>
                <w:sz w:val="24"/>
                <w:lang w:eastAsia="zh-CN"/>
              </w:rPr>
              <w:t>（</w:t>
            </w:r>
            <w:r>
              <w:rPr>
                <w:rFonts w:hint="eastAsia" w:ascii="Times New Roman" w:hAnsi="Times New Roman" w:eastAsia="仿宋_GB2312"/>
                <w:kern w:val="0"/>
                <w:sz w:val="24"/>
                <w:lang w:val="en-US" w:eastAsia="zh-CN"/>
              </w:rPr>
              <w:t>详见《教学事故分类和级别》</w:t>
            </w:r>
            <w:r>
              <w:rPr>
                <w:rFonts w:hint="eastAsia" w:ascii="Times New Roman" w:hAnsi="Times New Roman" w:eastAsia="仿宋_GB2312"/>
                <w:kern w:val="0"/>
                <w:sz w:val="24"/>
                <w:lang w:eastAsia="zh-CN"/>
              </w:rPr>
              <w:t>）</w:t>
            </w:r>
            <w:r>
              <w:rPr>
                <w:rFonts w:ascii="Times New Roman" w:hAnsi="Times New Roman" w:eastAsia="仿宋_GB2312"/>
                <w:kern w:val="0"/>
                <w:sz w:val="24"/>
              </w:rPr>
              <w:t>，课程符合学校办学定位，满足专业人才培养需求，推荐申报。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10"/>
        <w:numPr>
          <w:ilvl w:val="255"/>
          <w:numId w:val="0"/>
        </w:numPr>
        <w:spacing w:line="340" w:lineRule="atLeast"/>
        <w:rPr>
          <w:rFonts w:ascii="Times New Roman" w:hAnsi="Times New Roman" w:eastAsia="黑体"/>
          <w:sz w:val="28"/>
          <w:szCs w:val="28"/>
        </w:rPr>
      </w:pPr>
    </w:p>
    <w:p>
      <w:pPr>
        <w:pStyle w:val="10"/>
        <w:numPr>
          <w:ilvl w:val="255"/>
          <w:numId w:val="0"/>
        </w:numPr>
        <w:spacing w:line="340" w:lineRule="atLeast"/>
        <w:rPr>
          <w:rFonts w:ascii="Times New Roman" w:hAnsi="Times New Roman" w:eastAsia="黑体"/>
          <w:sz w:val="28"/>
          <w:szCs w:val="28"/>
        </w:rPr>
      </w:pPr>
    </w:p>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5"/>
        <w:tblW w:w="85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r>
              <w:rPr>
                <w:rFonts w:ascii="Times New Roman" w:hAnsi="Times New Roman" w:eastAsia="仿宋_GB2312"/>
                <w:sz w:val="24"/>
              </w:rPr>
              <w:t xml:space="preserve">                  </w:t>
            </w:r>
          </w:p>
          <w:p>
            <w:pPr>
              <w:jc w:val="center"/>
              <w:rPr>
                <w:rFonts w:hint="eastAsia" w:ascii="Times New Roman" w:hAnsi="Times New Roman" w:eastAsia="仿宋_GB2312"/>
                <w:sz w:val="24"/>
                <w:lang w:eastAsia="zh-CN"/>
              </w:rPr>
            </w:pPr>
            <w:r>
              <w:rPr>
                <w:rFonts w:ascii="Times New Roman" w:hAnsi="Times New Roman" w:eastAsia="仿宋_GB2312"/>
                <w:sz w:val="24"/>
              </w:rPr>
              <w:t xml:space="preserve">      </w:t>
            </w:r>
            <w:r>
              <w:rPr>
                <w:rFonts w:hint="eastAsia" w:ascii="Times New Roman" w:hAnsi="Times New Roman" w:eastAsia="仿宋_GB2312"/>
                <w:sz w:val="24"/>
                <w:lang w:eastAsia="zh-CN"/>
              </w:rPr>
              <w:t>（</w:t>
            </w:r>
            <w:r>
              <w:rPr>
                <w:rFonts w:ascii="Times New Roman" w:hAnsi="Times New Roman" w:eastAsia="仿宋_GB2312"/>
                <w:sz w:val="24"/>
              </w:rPr>
              <w:t>行指委、教指委签章</w:t>
            </w:r>
            <w:r>
              <w:rPr>
                <w:rFonts w:hint="eastAsia" w:ascii="Times New Roman" w:hAnsi="Times New Roman" w:eastAsia="仿宋_GB2312"/>
                <w:sz w:val="24"/>
                <w:lang w:eastAsia="zh-CN"/>
              </w:rPr>
              <w:t>）</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spacing w:line="400" w:lineRule="exact"/>
              <w:rPr>
                <w:rFonts w:ascii="Times New Roman" w:hAnsi="Times New Roman" w:eastAsia="仿宋_GB2312"/>
                <w:sz w:val="24"/>
              </w:rPr>
            </w:pPr>
          </w:p>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w:t>
            </w:r>
            <w:r>
              <w:rPr>
                <w:rFonts w:hint="eastAsia" w:ascii="Times New Roman" w:hAnsi="Times New Roman" w:eastAsia="仿宋_GB2312"/>
                <w:sz w:val="24"/>
                <w:lang w:val="en-US" w:eastAsia="zh-CN"/>
              </w:rPr>
              <w:t>无</w:t>
            </w:r>
            <w:r>
              <w:rPr>
                <w:rFonts w:ascii="Times New Roman" w:hAnsi="Times New Roman" w:eastAsia="仿宋_GB2312"/>
                <w:sz w:val="24"/>
              </w:rPr>
              <w:t>需盖章；通过行指委、教指委推荐的课程应在本栏简要写明遴选程序和结果，并签字和签章。</w:t>
            </w:r>
          </w:p>
        </w:tc>
      </w:tr>
    </w:tbl>
    <w:p>
      <w:pPr>
        <w:pStyle w:val="10"/>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十一、省级教育行政部门推荐意见</w:t>
      </w:r>
    </w:p>
    <w:tbl>
      <w:tblPr>
        <w:tblStyle w:val="5"/>
        <w:tblW w:w="86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88"/>
        <w:gridCol w:w="72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2" w:hRule="atLeast"/>
          <w:jc w:val="center"/>
        </w:trPr>
        <w:tc>
          <w:tcPr>
            <w:tcW w:w="1388"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复核</w:t>
            </w:r>
            <w:r>
              <w:rPr>
                <w:rFonts w:hint="eastAsia" w:ascii="Times New Roman" w:hAnsi="Times New Roman" w:eastAsia="仿宋_GB2312"/>
                <w:sz w:val="24"/>
                <w:lang w:eastAsia="zh-CN"/>
              </w:rPr>
              <w:t>）</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288"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r>
              <w:rPr>
                <w:rFonts w:ascii="Times New Roman" w:hAnsi="Times New Roman" w:eastAsia="仿宋_GB2312"/>
                <w:sz w:val="30"/>
                <w:szCs w:val="30"/>
              </w:rPr>
              <w:t xml:space="preserve">                       </w:t>
            </w:r>
          </w:p>
          <w:p>
            <w:pPr>
              <w:spacing w:line="480" w:lineRule="exact"/>
              <w:ind w:left="-62"/>
              <w:jc w:val="center"/>
              <w:rPr>
                <w:rFonts w:ascii="Times New Roman" w:hAnsi="Times New Roman" w:eastAsia="仿宋_GB2312"/>
                <w:sz w:val="24"/>
              </w:rPr>
            </w:pPr>
            <w:r>
              <w:rPr>
                <w:rFonts w:ascii="Times New Roman" w:hAnsi="Times New Roman" w:eastAsia="仿宋_GB2312"/>
                <w:sz w:val="30"/>
                <w:szCs w:val="30"/>
              </w:rPr>
              <w:t xml:space="preserve">                </w:t>
            </w: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jc w:val="center"/>
        <w:textAlignment w:val="auto"/>
        <w:rPr>
          <w:rFonts w:ascii="Times New Roman" w:hAnsi="Times New Roman" w:eastAsia="方正小标宋简体"/>
          <w:sz w:val="40"/>
          <w:szCs w:val="40"/>
        </w:rPr>
      </w:pPr>
      <w:r>
        <w:rPr>
          <w:rFonts w:ascii="Times New Roman" w:hAnsi="Times New Roman" w:eastAsia="方正小标宋简体"/>
          <w:sz w:val="40"/>
          <w:szCs w:val="40"/>
        </w:rPr>
        <w:t>证明材料清单</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1.课程负责人或团队成员“课程概述”视频（在课程平台上展示）</w:t>
      </w:r>
    </w:p>
    <w:p>
      <w:pPr>
        <w:pStyle w:val="10"/>
        <w:keepNext w:val="0"/>
        <w:keepLines w:val="0"/>
        <w:pageBreakBefore w:val="0"/>
        <w:kinsoku/>
        <w:wordWrap/>
        <w:overflowPunct/>
        <w:topLinePunct w:val="0"/>
        <w:autoSpaceDE/>
        <w:autoSpaceDN/>
        <w:bidi w:val="0"/>
        <w:adjustRightInd w:val="0"/>
        <w:snapToGrid w:val="0"/>
        <w:spacing w:line="360" w:lineRule="auto"/>
        <w:ind w:left="0" w:leftChars="0" w:firstLine="640" w:firstLineChars="200"/>
        <w:textAlignment w:val="auto"/>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2.人才培养方案及课程标准</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3.最近一（学）期授课计划</w:t>
      </w:r>
      <w:r>
        <w:rPr>
          <w:rFonts w:hint="eastAsia" w:ascii="Times New Roman" w:hAnsi="Times New Roman" w:eastAsia="仿宋_GB2312"/>
          <w:b/>
          <w:bCs/>
          <w:kern w:val="0"/>
          <w:sz w:val="32"/>
          <w:szCs w:val="32"/>
        </w:rPr>
        <w:t>以及含有本课程的专业教学任务下达情况教务系统截图</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4</w:t>
      </w:r>
      <w:r>
        <w:rPr>
          <w:rFonts w:ascii="Times New Roman" w:hAnsi="Times New Roman" w:eastAsia="仿宋_GB2312"/>
          <w:b/>
          <w:bCs/>
          <w:kern w:val="0"/>
          <w:sz w:val="32"/>
          <w:szCs w:val="32"/>
        </w:rPr>
        <w:t>.最近两（学）期学生评教情况</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5</w:t>
      </w:r>
      <w:r>
        <w:rPr>
          <w:rFonts w:ascii="Times New Roman" w:hAnsi="Times New Roman" w:eastAsia="仿宋_GB2312"/>
          <w:b/>
          <w:bCs/>
          <w:kern w:val="0"/>
          <w:sz w:val="32"/>
          <w:szCs w:val="32"/>
        </w:rPr>
        <w:t>.主要教材选用情况（含封面、版权页及教材目录）</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hint="eastAsia" w:ascii="Times New Roman" w:hAnsi="Times New Roman" w:eastAsia="仿宋_GB2312"/>
          <w:b/>
          <w:bCs/>
          <w:kern w:val="0"/>
          <w:sz w:val="32"/>
          <w:szCs w:val="32"/>
          <w:lang w:val="en-US" w:eastAsia="zh-CN"/>
        </w:rPr>
        <w:t>6</w:t>
      </w:r>
      <w:r>
        <w:rPr>
          <w:rFonts w:ascii="Times New Roman" w:hAnsi="Times New Roman" w:eastAsia="仿宋_GB2312"/>
          <w:b/>
          <w:bCs/>
          <w:kern w:val="0"/>
          <w:sz w:val="32"/>
          <w:szCs w:val="32"/>
        </w:rPr>
        <w:t>.教学设计样例</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kern w:val="0"/>
          <w:sz w:val="32"/>
          <w:szCs w:val="32"/>
        </w:rPr>
      </w:pPr>
      <w:r>
        <w:rPr>
          <w:rFonts w:ascii="Times New Roman" w:hAnsi="Times New Roman" w:eastAsia="仿宋_GB2312"/>
          <w:kern w:val="0"/>
          <w:sz w:val="32"/>
          <w:szCs w:val="32"/>
        </w:rPr>
        <w:t>提供</w:t>
      </w:r>
      <w:r>
        <w:rPr>
          <w:rFonts w:hint="eastAsia" w:ascii="Times New Roman" w:hAnsi="Times New Roman" w:eastAsia="仿宋_GB2312"/>
          <w:kern w:val="0"/>
          <w:sz w:val="32"/>
          <w:szCs w:val="32"/>
          <w:lang w:val="en-US" w:eastAsia="zh-CN"/>
        </w:rPr>
        <w:t>具有</w:t>
      </w:r>
      <w:r>
        <w:rPr>
          <w:rFonts w:ascii="Times New Roman" w:hAnsi="Times New Roman" w:eastAsia="仿宋_GB2312"/>
          <w:kern w:val="0"/>
          <w:sz w:val="32"/>
          <w:szCs w:val="32"/>
        </w:rPr>
        <w:t>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7.“双师型”教师证明材料</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kern w:val="0"/>
          <w:sz w:val="32"/>
          <w:szCs w:val="32"/>
          <w:lang w:val="en-US" w:eastAsia="zh-CN"/>
        </w:rPr>
        <w:t>提供所在学校或有关行政部门印发的认定文件或颁发的认定证书。</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b/>
          <w:bCs/>
          <w:sz w:val="32"/>
          <w:szCs w:val="32"/>
        </w:rPr>
      </w:pPr>
      <w:r>
        <w:rPr>
          <w:rFonts w:ascii="Times New Roman" w:hAnsi="Times New Roman" w:eastAsia="仿宋_GB2312"/>
          <w:b/>
          <w:bCs/>
          <w:sz w:val="32"/>
          <w:szCs w:val="32"/>
        </w:rPr>
        <w:t>8.课程团队成员和课程内容政治审查意见</w:t>
      </w:r>
    </w:p>
    <w:p>
      <w:pPr>
        <w:pStyle w:val="10"/>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eastAsia="仿宋_GB2312"/>
          <w:sz w:val="32"/>
          <w:szCs w:val="32"/>
        </w:rPr>
      </w:pPr>
      <w:r>
        <w:rPr>
          <w:rFonts w:ascii="Times New Roman" w:hAnsi="Times New Roman" w:eastAsia="仿宋_GB2312"/>
          <w:sz w:val="32"/>
          <w:szCs w:val="32"/>
        </w:rPr>
        <w:t>申报学校党组织负责对本校课程团队成员以及申报课程的内容进行政审，出具政审意见并加盖党组织印章；团队成员涉及多校时，各校</w:t>
      </w:r>
      <w:r>
        <w:rPr>
          <w:rFonts w:hint="eastAsia" w:ascii="Times New Roman" w:hAnsi="Times New Roman" w:eastAsia="仿宋_GB2312"/>
          <w:sz w:val="32"/>
          <w:szCs w:val="32"/>
        </w:rPr>
        <w:t>党组织</w:t>
      </w:r>
      <w:r>
        <w:rPr>
          <w:rFonts w:ascii="Times New Roman" w:hAnsi="Times New Roman" w:eastAsia="仿宋_GB2312"/>
          <w:sz w:val="32"/>
          <w:szCs w:val="32"/>
        </w:rPr>
        <w:t>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sz w:val="32"/>
          <w:szCs w:val="32"/>
        </w:rPr>
      </w:pPr>
      <w:r>
        <w:rPr>
          <w:rFonts w:ascii="Times New Roman" w:hAnsi="Times New Roman" w:eastAsia="仿宋_GB2312"/>
          <w:b/>
          <w:sz w:val="32"/>
          <w:szCs w:val="32"/>
        </w:rPr>
        <w:t>9.课程内容学术性评价意见</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10.学校支持在线教学、认定在线教学工作量等有关政策文件（选择性提供）</w:t>
      </w:r>
    </w:p>
    <w:p>
      <w:pPr>
        <w:pStyle w:val="10"/>
        <w:keepNext w:val="0"/>
        <w:keepLines w:val="0"/>
        <w:pageBreakBefore w:val="0"/>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需</w:t>
      </w:r>
      <w:r>
        <w:rPr>
          <w:rFonts w:ascii="Times New Roman" w:hAnsi="Times New Roman" w:eastAsia="仿宋_GB2312"/>
          <w:kern w:val="0"/>
          <w:sz w:val="32"/>
          <w:szCs w:val="32"/>
        </w:rPr>
        <w:t>申报学校盖章。</w:t>
      </w:r>
    </w:p>
    <w:p>
      <w:pPr>
        <w:keepNext w:val="0"/>
        <w:keepLines w:val="0"/>
        <w:pageBreakBefore w:val="0"/>
        <w:widowControl/>
        <w:numPr>
          <w:ilvl w:val="255"/>
          <w:numId w:val="0"/>
        </w:numPr>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b/>
          <w:bCs/>
          <w:kern w:val="0"/>
          <w:sz w:val="32"/>
          <w:szCs w:val="32"/>
          <w:highlight w:val="none"/>
          <w:lang w:val="en-US" w:eastAsia="zh-CN"/>
        </w:rPr>
      </w:pPr>
      <w:r>
        <w:rPr>
          <w:rFonts w:ascii="Times New Roman" w:hAnsi="Times New Roman" w:eastAsia="仿宋_GB2312"/>
          <w:b/>
          <w:bCs/>
          <w:kern w:val="0"/>
          <w:sz w:val="32"/>
          <w:szCs w:val="32"/>
          <w:highlight w:val="none"/>
        </w:rPr>
        <w:t>11.课程资源与学习数据及平台承诺书（</w:t>
      </w:r>
      <w:r>
        <w:rPr>
          <w:rFonts w:hint="eastAsia" w:ascii="Times New Roman" w:hAnsi="Times New Roman" w:eastAsia="仿宋_GB2312"/>
          <w:b/>
          <w:bCs/>
          <w:kern w:val="0"/>
          <w:sz w:val="32"/>
          <w:szCs w:val="32"/>
          <w:highlight w:val="none"/>
          <w:lang w:val="en-US" w:eastAsia="zh-CN"/>
        </w:rPr>
        <w:t>任选2个不同学期</w:t>
      </w:r>
      <w:r>
        <w:rPr>
          <w:rFonts w:ascii="Times New Roman" w:hAnsi="Times New Roman" w:eastAsia="仿宋_GB2312"/>
          <w:b/>
          <w:bCs/>
          <w:kern w:val="0"/>
          <w:sz w:val="32"/>
          <w:szCs w:val="32"/>
          <w:highlight w:val="none"/>
        </w:rPr>
        <w:t>，课程所在平台盖章，多平台开课请将主要开课平台置于第一页）</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b/>
          <w:bCs/>
          <w:kern w:val="0"/>
          <w:sz w:val="32"/>
          <w:szCs w:val="32"/>
          <w:lang w:val="en-US" w:eastAsia="zh-CN"/>
        </w:rPr>
      </w:pPr>
      <w:r>
        <w:rPr>
          <w:rFonts w:hint="eastAsia" w:ascii="Times New Roman" w:hAnsi="Times New Roman" w:eastAsia="仿宋_GB2312"/>
          <w:b/>
          <w:bCs/>
          <w:kern w:val="0"/>
          <w:sz w:val="32"/>
          <w:szCs w:val="32"/>
          <w:lang w:val="en-US" w:eastAsia="zh-CN"/>
        </w:rPr>
        <w:t>12.校企共建课程或“职教出海”课程证明材料</w:t>
      </w:r>
      <w:r>
        <w:rPr>
          <w:rFonts w:ascii="Times New Roman" w:hAnsi="Times New Roman" w:eastAsia="仿宋_GB2312"/>
          <w:b/>
          <w:bCs/>
          <w:kern w:val="0"/>
          <w:sz w:val="32"/>
          <w:szCs w:val="32"/>
        </w:rPr>
        <w:t>（选择性提供）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校企共建课程，需详细说明企业参与课程建设情况，包括但不限于校企合作建设课程机制、课程需求调研、课程内容开发、课程标准和教案编制、课程相关项目设计、企业教师参与教学、学习考核评价等方面的内容，并提供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如为“职教出海”课程，需详细说明课程应用情况及取得的实效，并提供证明材料。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kern w:val="0"/>
          <w:sz w:val="32"/>
          <w:szCs w:val="32"/>
        </w:rPr>
      </w:pP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lang w:val="en-US" w:eastAsia="zh-CN"/>
        </w:rPr>
        <w:t>3</w:t>
      </w:r>
      <w:r>
        <w:rPr>
          <w:rFonts w:ascii="Times New Roman" w:hAnsi="Times New Roman" w:eastAsia="仿宋_GB2312"/>
          <w:b/>
          <w:bCs/>
          <w:kern w:val="0"/>
          <w:sz w:val="32"/>
          <w:szCs w:val="32"/>
        </w:rPr>
        <w:t>.其他材料（选择性提供）</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Times New Roman" w:hAnsi="Times New Roman" w:eastAsia="仿宋_GB2312"/>
          <w:b/>
          <w:bCs/>
          <w:kern w:val="0"/>
          <w:sz w:val="32"/>
          <w:szCs w:val="32"/>
        </w:rPr>
      </w:pPr>
      <w:r>
        <w:rPr>
          <w:rFonts w:ascii="Times New Roman" w:hAnsi="Times New Roman" w:eastAsia="仿宋_GB2312"/>
          <w:b/>
          <w:bCs/>
          <w:kern w:val="0"/>
          <w:sz w:val="32"/>
          <w:szCs w:val="32"/>
        </w:rPr>
        <w:t>以上材料均可在网上公开，请严格审查，确保不违反有关法律及保密规定。</w:t>
      </w:r>
    </w:p>
    <w:p>
      <w:pPr>
        <w:snapToGrid w:val="0"/>
        <w:rPr>
          <w:rFonts w:ascii="Times New Roman" w:hAnsi="Times New Roman" w:eastAsia="黑体"/>
          <w:sz w:val="32"/>
          <w:szCs w:val="32"/>
        </w:rPr>
      </w:pPr>
    </w:p>
    <w:p>
      <w:pPr>
        <w:widowControl/>
        <w:jc w:val="left"/>
        <w:rPr>
          <w:rFonts w:ascii="Times New Roman" w:hAnsi="Times New Roman" w:eastAsia="黑体"/>
          <w:sz w:val="32"/>
          <w:szCs w:val="32"/>
        </w:rPr>
      </w:pPr>
      <w:r>
        <w:rPr>
          <w:rFonts w:ascii="Times New Roman" w:hAnsi="Times New Roman" w:eastAsia="黑体"/>
          <w:sz w:val="32"/>
          <w:szCs w:val="32"/>
        </w:rPr>
        <w:br w:type="page"/>
      </w:r>
    </w:p>
    <w:p>
      <w:pPr>
        <w:pStyle w:val="10"/>
        <w:numPr>
          <w:ilvl w:val="255"/>
          <w:numId w:val="0"/>
        </w:numPr>
        <w:spacing w:line="340" w:lineRule="atLeast"/>
        <w:jc w:val="center"/>
        <w:rPr>
          <w:rFonts w:ascii="Times New Roman" w:hAnsi="Times New Roman" w:eastAsia="黑体"/>
          <w:sz w:val="40"/>
          <w:szCs w:val="40"/>
        </w:rPr>
      </w:pPr>
      <w:r>
        <w:rPr>
          <w:rFonts w:ascii="Times New Roman" w:hAnsi="Times New Roman" w:eastAsia="方正小标宋简体"/>
          <w:sz w:val="40"/>
          <w:szCs w:val="40"/>
        </w:rPr>
        <w:t>课程资源与学习数据及平台承诺书</w:t>
      </w:r>
    </w:p>
    <w:tbl>
      <w:tblPr>
        <w:tblStyle w:val="5"/>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2"/>
        <w:gridCol w:w="2037"/>
        <w:gridCol w:w="2137"/>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课程名称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学校名称</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课程负责人</w:t>
            </w:r>
          </w:p>
        </w:tc>
        <w:tc>
          <w:tcPr>
            <w:tcW w:w="6311" w:type="dxa"/>
            <w:gridSpan w:val="3"/>
            <w:shd w:val="clear" w:color="auto" w:fill="auto"/>
            <w:vAlign w:val="center"/>
          </w:tcPr>
          <w:p>
            <w:pPr>
              <w:widowControl/>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6"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highlight w:val="none"/>
              </w:rPr>
              <w:t>课程运行平台名称</w:t>
            </w:r>
          </w:p>
        </w:tc>
        <w:tc>
          <w:tcPr>
            <w:tcW w:w="6311" w:type="dxa"/>
            <w:gridSpan w:val="3"/>
            <w:shd w:val="clear" w:color="auto" w:fill="auto"/>
            <w:vAlign w:val="center"/>
          </w:tcPr>
          <w:p>
            <w:pPr>
              <w:widowControl/>
              <w:jc w:val="center"/>
              <w:rPr>
                <w:rFonts w:ascii="Times New Roman" w:hAnsi="Times New Roman" w:eastAsia="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 w:val="24"/>
                <w:szCs w:val="24"/>
              </w:rPr>
            </w:pPr>
            <w:r>
              <w:rPr>
                <w:rFonts w:hint="eastAsia" w:ascii="Times New Roman" w:hAnsi="Times New Roman" w:eastAsia="仿宋_GB2312"/>
                <w:sz w:val="24"/>
                <w:szCs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数据项</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c>
          <w:tcPr>
            <w:tcW w:w="2137" w:type="dxa"/>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bCs/>
                <w:kern w:val="0"/>
                <w:sz w:val="24"/>
                <w:szCs w:val="24"/>
              </w:rPr>
              <w:t>第</w:t>
            </w:r>
            <w:r>
              <w:rPr>
                <w:rFonts w:ascii="Times New Roman" w:hAnsi="Times New Roman" w:eastAsia="仿宋_GB2312"/>
                <w:bCs/>
                <w:kern w:val="0"/>
                <w:sz w:val="24"/>
                <w:szCs w:val="24"/>
                <w:u w:val="single"/>
              </w:rPr>
              <w:t xml:space="preserve">   </w:t>
            </w:r>
            <w:r>
              <w:rPr>
                <w:rFonts w:ascii="Times New Roman" w:hAnsi="Times New Roman" w:eastAsia="仿宋_GB2312"/>
                <w:bCs/>
                <w:kern w:val="0"/>
                <w:sz w:val="24"/>
                <w:szCs w:val="24"/>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当期起止时间</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日至</w:t>
            </w:r>
          </w:p>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年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 xml:space="preserve">月 </w:t>
            </w:r>
            <w:r>
              <w:rPr>
                <w:rFonts w:ascii="Times New Roman" w:hAnsi="Times New Roman" w:eastAsia="仿宋_GB2312"/>
                <w:bCs/>
                <w:kern w:val="0"/>
                <w:sz w:val="24"/>
                <w:szCs w:val="24"/>
              </w:rPr>
              <w:t xml:space="preserve"> </w:t>
            </w:r>
            <w:r>
              <w:rPr>
                <w:rFonts w:hint="eastAsia" w:ascii="Times New Roman" w:hAnsi="Times New Roman" w:eastAsia="仿宋_GB2312"/>
                <w:bCs/>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259" w:type="dxa"/>
            <w:gridSpan w:val="2"/>
            <w:shd w:val="clear" w:color="auto" w:fill="auto"/>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当期持续周数</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r>
              <w:rPr>
                <w:rFonts w:hint="eastAsia" w:ascii="Times New Roman" w:hAnsi="Times New Roman" w:eastAsia="仿宋_GB2312"/>
                <w:bCs/>
                <w:kern w:val="0"/>
                <w:sz w:val="24"/>
                <w:szCs w:val="24"/>
              </w:rPr>
              <w:t xml:space="preserve">   </w:t>
            </w:r>
            <w:r>
              <w:rPr>
                <w:rFonts w:ascii="Times New Roman" w:hAnsi="Times New Roman" w:eastAsia="仿宋_GB2312"/>
                <w:bCs/>
                <w:kern w:val="0"/>
                <w:sz w:val="24"/>
                <w:szCs w:val="24"/>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当期选课人数</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选课人数（人）</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 xml:space="preserve">课程资源    </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c>
          <w:tcPr>
            <w:tcW w:w="2137" w:type="dxa"/>
            <w:shd w:val="clear" w:color="auto" w:fill="auto"/>
            <w:vAlign w:val="center"/>
          </w:tcPr>
          <w:p>
            <w:pPr>
              <w:widowControl/>
              <w:spacing w:line="360" w:lineRule="exact"/>
              <w:jc w:val="center"/>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视频资源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总时长（分钟）</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动画、虚拟仿真类资源</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数量（个）</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课程公告</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数量（次）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测验和作业</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总次数（次）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习题总数（道）</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互动交流情况</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发帖总数（帖）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教师发帖数（帖）</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参与互动人数（人）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restart"/>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考核（试）</w:t>
            </w: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次数（次）</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试题总数（题）</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参与人数（人）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22" w:type="dxa"/>
            <w:vMerge w:val="continue"/>
            <w:vAlign w:val="center"/>
          </w:tcPr>
          <w:p>
            <w:pPr>
              <w:widowControl/>
              <w:spacing w:line="360" w:lineRule="exact"/>
              <w:jc w:val="left"/>
              <w:rPr>
                <w:rFonts w:ascii="Times New Roman" w:hAnsi="Times New Roman" w:eastAsia="仿宋_GB2312"/>
                <w:kern w:val="0"/>
                <w:sz w:val="24"/>
                <w:szCs w:val="24"/>
              </w:rPr>
            </w:pPr>
          </w:p>
        </w:tc>
        <w:tc>
          <w:tcPr>
            <w:tcW w:w="2037" w:type="dxa"/>
            <w:shd w:val="clear" w:color="auto" w:fill="auto"/>
            <w:vAlign w:val="center"/>
          </w:tcPr>
          <w:p>
            <w:pPr>
              <w:widowControl/>
              <w:spacing w:line="360" w:lineRule="exact"/>
              <w:jc w:val="left"/>
              <w:rPr>
                <w:rFonts w:ascii="Times New Roman" w:hAnsi="Times New Roman" w:eastAsia="仿宋_GB2312"/>
                <w:kern w:val="0"/>
                <w:sz w:val="24"/>
                <w:szCs w:val="24"/>
              </w:rPr>
            </w:pPr>
            <w:r>
              <w:rPr>
                <w:rFonts w:ascii="Times New Roman" w:hAnsi="Times New Roman" w:eastAsia="仿宋_GB2312"/>
                <w:kern w:val="0"/>
                <w:sz w:val="24"/>
                <w:szCs w:val="24"/>
              </w:rPr>
              <w:t>考试通过人数（人）</w:t>
            </w: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c>
          <w:tcPr>
            <w:tcW w:w="2137" w:type="dxa"/>
            <w:shd w:val="clear" w:color="auto" w:fill="auto"/>
            <w:vAlign w:val="center"/>
          </w:tcPr>
          <w:p>
            <w:pPr>
              <w:widowControl/>
              <w:spacing w:line="360" w:lineRule="exact"/>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8533" w:type="dxa"/>
            <w:gridSpan w:val="4"/>
            <w:vAlign w:val="center"/>
          </w:tcPr>
          <w:p>
            <w:pPr>
              <w:widowControl/>
              <w:spacing w:line="360" w:lineRule="exact"/>
              <w:jc w:val="center"/>
              <w:rPr>
                <w:rFonts w:ascii="Times New Roman" w:hAnsi="Times New Roman" w:eastAsia="仿宋_GB2312"/>
                <w:sz w:val="24"/>
                <w:szCs w:val="24"/>
              </w:rPr>
            </w:pPr>
            <w:r>
              <w:rPr>
                <w:rFonts w:hint="eastAsia" w:ascii="黑体" w:hAnsi="黑体" w:eastAsia="黑体" w:cs="黑体"/>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 w:val="24"/>
                <w:szCs w:val="24"/>
              </w:rPr>
            </w:pPr>
            <w:r>
              <w:rPr>
                <w:rFonts w:ascii="Times New Roman" w:hAnsi="Times New Roman" w:eastAsia="仿宋_GB2312"/>
                <w:sz w:val="24"/>
                <w:szCs w:val="24"/>
              </w:rPr>
              <w:t>1.取得权利人充分授权，享有报送资源的信息网络传播权及其他所有必要权利。</w:t>
            </w:r>
          </w:p>
          <w:p>
            <w:pPr>
              <w:pStyle w:val="9"/>
              <w:spacing w:line="0" w:lineRule="atLeast"/>
              <w:rPr>
                <w:rFonts w:ascii="Times New Roman" w:hAnsi="Times New Roman" w:eastAsia="仿宋_GB2312"/>
                <w:sz w:val="24"/>
                <w:szCs w:val="24"/>
              </w:rPr>
            </w:pPr>
            <w:r>
              <w:rPr>
                <w:rFonts w:ascii="Times New Roman" w:hAnsi="Times New Roman" w:eastAsia="仿宋_GB2312"/>
                <w:sz w:val="24"/>
                <w:szCs w:val="24"/>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9"/>
              <w:spacing w:line="0" w:lineRule="atLeast"/>
              <w:rPr>
                <w:rFonts w:ascii="Times New Roman" w:hAnsi="Times New Roman" w:eastAsia="仿宋_GB2312"/>
                <w:sz w:val="24"/>
                <w:szCs w:val="24"/>
              </w:rPr>
            </w:pPr>
            <w:r>
              <w:rPr>
                <w:rFonts w:ascii="Times New Roman" w:hAnsi="Times New Roman" w:eastAsia="仿宋_GB2312"/>
                <w:sz w:val="24"/>
                <w:szCs w:val="24"/>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9"/>
              <w:spacing w:line="0" w:lineRule="atLeast"/>
              <w:rPr>
                <w:rFonts w:ascii="Times New Roman" w:hAnsi="Times New Roman" w:eastAsia="仿宋_GB2312"/>
                <w:sz w:val="24"/>
                <w:szCs w:val="24"/>
              </w:rPr>
            </w:pPr>
            <w:r>
              <w:rPr>
                <w:rFonts w:ascii="Times New Roman" w:hAnsi="Times New Roman" w:eastAsia="仿宋_GB2312"/>
                <w:sz w:val="24"/>
                <w:szCs w:val="24"/>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9"/>
              <w:spacing w:line="0" w:lineRule="atLeast"/>
              <w:rPr>
                <w:rFonts w:ascii="Times New Roman" w:hAnsi="Times New Roman" w:eastAsia="仿宋_GB2312"/>
                <w:sz w:val="24"/>
                <w:szCs w:val="24"/>
              </w:rPr>
            </w:pPr>
            <w:r>
              <w:rPr>
                <w:rFonts w:ascii="Times New Roman" w:hAnsi="Times New Roman" w:eastAsia="仿宋_GB2312"/>
                <w:sz w:val="24"/>
                <w:szCs w:val="24"/>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5280" w:firstLineChars="2200"/>
              <w:jc w:val="left"/>
              <w:rPr>
                <w:rFonts w:ascii="Times New Roman" w:hAnsi="Times New Roman" w:eastAsia="仿宋_GB2312"/>
                <w:sz w:val="24"/>
                <w:szCs w:val="24"/>
              </w:rPr>
            </w:pPr>
          </w:p>
          <w:p>
            <w:pPr>
              <w:widowControl/>
              <w:spacing w:line="0" w:lineRule="atLeast"/>
              <w:ind w:firstLine="3840" w:firstLineChars="1600"/>
              <w:jc w:val="left"/>
              <w:rPr>
                <w:rFonts w:ascii="Times New Roman" w:hAnsi="Times New Roman" w:eastAsia="仿宋_GB2312"/>
                <w:sz w:val="24"/>
                <w:szCs w:val="24"/>
              </w:rPr>
            </w:pPr>
            <w:r>
              <w:rPr>
                <w:rFonts w:ascii="Times New Roman" w:hAnsi="Times New Roman" w:eastAsia="仿宋_GB2312"/>
                <w:sz w:val="24"/>
                <w:szCs w:val="24"/>
              </w:rPr>
              <w:t>课程平台单位（公章）：</w:t>
            </w:r>
          </w:p>
          <w:p>
            <w:pPr>
              <w:widowControl/>
              <w:spacing w:line="360" w:lineRule="exact"/>
              <w:jc w:val="center"/>
              <w:rPr>
                <w:rFonts w:hint="eastAsia" w:ascii="Times New Roman" w:hAnsi="Times New Roman" w:eastAsia="仿宋_GB2312"/>
                <w:kern w:val="0"/>
                <w:sz w:val="24"/>
                <w:szCs w:val="24"/>
                <w:lang w:val="en-US" w:eastAsia="zh-CN"/>
              </w:rPr>
            </w:pPr>
          </w:p>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lang w:val="en-US" w:eastAsia="zh-CN"/>
              </w:rPr>
              <w:t xml:space="preserve">                   </w:t>
            </w:r>
            <w:r>
              <w:rPr>
                <w:rFonts w:ascii="Times New Roman" w:hAnsi="Times New Roman" w:eastAsia="仿宋_GB2312"/>
                <w:kern w:val="0"/>
                <w:sz w:val="24"/>
                <w:szCs w:val="24"/>
              </w:rPr>
              <w:t>联系人及电话：</w:t>
            </w:r>
          </w:p>
          <w:p>
            <w:pPr>
              <w:widowControl/>
              <w:spacing w:line="360" w:lineRule="exact"/>
              <w:jc w:val="center"/>
              <w:rPr>
                <w:rFonts w:ascii="Times New Roman" w:hAnsi="Times New Roman" w:eastAsia="仿宋_GB2312"/>
                <w:kern w:val="0"/>
                <w:sz w:val="24"/>
                <w:szCs w:val="24"/>
              </w:rPr>
            </w:pPr>
          </w:p>
        </w:tc>
      </w:tr>
    </w:tbl>
    <w:p>
      <w:r>
        <w:br w:type="page"/>
      </w:r>
    </w:p>
    <w:p>
      <w:pPr>
        <w:jc w:val="center"/>
        <w:rPr>
          <w:rFonts w:hint="default" w:ascii="Times New Roman" w:hAnsi="Times New Roman" w:eastAsia="方正小标宋简体" w:cs="Times New Roman"/>
          <w:b w:val="0"/>
          <w:bCs w:val="0"/>
          <w:sz w:val="40"/>
          <w:szCs w:val="40"/>
          <w:lang w:val="en-US" w:eastAsia="zh-CN"/>
        </w:rPr>
      </w:pPr>
      <w:r>
        <w:rPr>
          <w:rFonts w:hint="default" w:ascii="Times New Roman" w:hAnsi="Times New Roman" w:eastAsia="方正小标宋简体" w:cs="Times New Roman"/>
          <w:b w:val="0"/>
          <w:bCs w:val="0"/>
          <w:sz w:val="40"/>
          <w:szCs w:val="40"/>
          <w:lang w:val="en-US" w:eastAsia="zh-CN"/>
        </w:rPr>
        <w:t>教学事故分类和级别</w:t>
      </w:r>
    </w:p>
    <w:tbl>
      <w:tblPr>
        <w:tblStyle w:val="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611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1488" w:type="dxa"/>
            <w:noWrap w:val="0"/>
            <w:vAlign w:val="center"/>
          </w:tcPr>
          <w:p>
            <w:pPr>
              <w:jc w:val="center"/>
              <w:rPr>
                <w:rFonts w:hint="default" w:ascii="Times New Roman" w:hAnsi="Times New Roman" w:eastAsia="黑体" w:cs="Times New Roman"/>
                <w:b w:val="0"/>
                <w:bCs w:val="0"/>
                <w:sz w:val="24"/>
                <w:szCs w:val="24"/>
                <w:lang w:val="en-US" w:eastAsia="zh-CN"/>
              </w:rPr>
            </w:pPr>
            <w:r>
              <w:rPr>
                <w:rFonts w:hint="default" w:ascii="Times New Roman" w:hAnsi="Times New Roman" w:eastAsia="黑体" w:cs="Times New Roman"/>
                <w:b w:val="0"/>
                <w:bCs w:val="0"/>
                <w:sz w:val="24"/>
                <w:szCs w:val="24"/>
                <w:lang w:val="en-US" w:eastAsia="zh-CN"/>
              </w:rPr>
              <w:t>分类</w:t>
            </w:r>
          </w:p>
        </w:tc>
        <w:tc>
          <w:tcPr>
            <w:tcW w:w="6113"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事项</w:t>
            </w:r>
          </w:p>
        </w:tc>
        <w:tc>
          <w:tcPr>
            <w:tcW w:w="928" w:type="dxa"/>
            <w:noWrap w:val="0"/>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课程内容事故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中散布违反国家法律法规</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违反党和国家教育政策、违反师德师风及发表其他不当言论，或传播宗教、封建迷信、色情等内容，言行造成严重不良影响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eastAsia="zh-CN"/>
              </w:rPr>
            </w:pPr>
            <w:r>
              <w:rPr>
                <w:rFonts w:hint="default" w:ascii="Times New Roman" w:hAnsi="Times New Roman" w:eastAsia="方正仿宋_GB2312" w:cs="Times New Roman"/>
                <w:kern w:val="0"/>
                <w:sz w:val="24"/>
                <w:szCs w:val="24"/>
                <w:lang w:val="en-US" w:eastAsia="zh-CN"/>
              </w:rPr>
              <w:t>课程资源</w:t>
            </w:r>
            <w:r>
              <w:rPr>
                <w:rFonts w:hint="default" w:ascii="Times New Roman" w:hAnsi="Times New Roman" w:eastAsia="方正仿宋_GB2312" w:cs="Times New Roman"/>
                <w:kern w:val="0"/>
                <w:sz w:val="24"/>
                <w:szCs w:val="24"/>
              </w:rPr>
              <w:t>中散布黄色或淫秽内容</w:t>
            </w:r>
            <w:r>
              <w:rPr>
                <w:rFonts w:hint="default" w:ascii="Times New Roman" w:hAnsi="Times New Roman" w:eastAsia="方正仿宋_GB2312" w:cs="Times New Roman"/>
                <w:kern w:val="0"/>
                <w:sz w:val="24"/>
                <w:szCs w:val="24"/>
                <w:lang w:eastAsia="zh-CN"/>
              </w:rPr>
              <w:t>，</w:t>
            </w:r>
            <w:r>
              <w:rPr>
                <w:rFonts w:hint="default" w:ascii="Times New Roman" w:hAnsi="Times New Roman" w:eastAsia="方正仿宋_GB2312" w:cs="Times New Roman"/>
                <w:kern w:val="0"/>
                <w:sz w:val="24"/>
                <w:szCs w:val="24"/>
                <w:lang w:val="en-US" w:eastAsia="zh-CN"/>
              </w:rPr>
              <w:t>造成严重负面影响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0"/>
                <w:sz w:val="24"/>
                <w:szCs w:val="24"/>
                <w:lang w:val="en-US" w:eastAsia="zh-CN"/>
              </w:rPr>
            </w:pPr>
            <w:r>
              <w:rPr>
                <w:rFonts w:hint="default" w:ascii="Times New Roman" w:hAnsi="Times New Roman" w:eastAsia="方正仿宋_GB2312" w:cs="Times New Roman"/>
                <w:kern w:val="0"/>
                <w:sz w:val="24"/>
                <w:szCs w:val="24"/>
                <w:lang w:val="en-US" w:eastAsia="zh-CN"/>
              </w:rPr>
              <w:t>课程资源中出现严重知识性错误，学习者反映强烈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val="en-US"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教学过程中严重脱离课程标准或者授课进度计划要求，擅自删减课程教学内容1/2以上，严重影响课程教学质量，学习者反映强烈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强行向</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推销图书或其他商品</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教学过程中</w:t>
            </w:r>
            <w:r>
              <w:rPr>
                <w:rFonts w:hint="default" w:ascii="Times New Roman" w:hAnsi="Times New Roman" w:eastAsia="方正仿宋_GB2312" w:cs="Times New Roman"/>
                <w:sz w:val="24"/>
                <w:szCs w:val="24"/>
              </w:rPr>
              <w:t>贬损、侮辱、无故刁难</w:t>
            </w:r>
            <w:r>
              <w:rPr>
                <w:rFonts w:hint="default" w:ascii="Times New Roman" w:hAnsi="Times New Roman" w:eastAsia="方正仿宋_GB2312" w:cs="Times New Roman"/>
                <w:sz w:val="24"/>
                <w:szCs w:val="24"/>
                <w:lang w:val="en-US" w:eastAsia="zh-CN"/>
              </w:rPr>
              <w:t>学习者</w:t>
            </w:r>
            <w:r>
              <w:rPr>
                <w:rFonts w:hint="default" w:ascii="Times New Roman" w:hAnsi="Times New Roman" w:eastAsia="方正仿宋_GB2312" w:cs="Times New Roman"/>
                <w:sz w:val="24"/>
                <w:szCs w:val="24"/>
              </w:rPr>
              <w:t>造成恶劣影响</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教学过程中衣冠不整，如穿背心、短裤或拖鞋等</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kern w:val="2"/>
                <w:sz w:val="24"/>
                <w:szCs w:val="24"/>
                <w:lang w:val="en-US" w:eastAsia="zh-CN" w:bidi="ar-SA"/>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r>
              <w:rPr>
                <w:rFonts w:hint="default" w:ascii="Times New Roman" w:hAnsi="Times New Roman" w:eastAsia="方正仿宋_GB2312" w:cs="Times New Roman"/>
                <w:sz w:val="24"/>
                <w:szCs w:val="24"/>
                <w:lang w:val="en-US" w:eastAsia="zh-CN"/>
              </w:rPr>
              <w:t>考试与考试管理事故</w:t>
            </w: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教学团队成员在考前泄露考试试卷或答案</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4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jc w:val="center"/>
              <w:textAlignment w:val="auto"/>
              <w:rPr>
                <w:rFonts w:hint="default" w:ascii="Times New Roman" w:hAnsi="Times New Roman" w:eastAsia="方正仿宋_GB2312" w:cs="Times New Roman"/>
                <w:sz w:val="24"/>
                <w:szCs w:val="24"/>
                <w:lang w:val="en-US" w:eastAsia="zh-CN"/>
              </w:rPr>
            </w:pPr>
          </w:p>
        </w:tc>
        <w:tc>
          <w:tcPr>
            <w:tcW w:w="611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atLeast"/>
              <w:textAlignment w:val="auto"/>
              <w:rPr>
                <w:rFonts w:hint="default" w:ascii="Times New Roman" w:hAnsi="Times New Roman" w:eastAsia="方正仿宋_GB2312" w:cs="Times New Roman"/>
                <w:kern w:val="2"/>
                <w:sz w:val="24"/>
                <w:szCs w:val="24"/>
                <w:lang w:val="en-US" w:eastAsia="zh-CN" w:bidi="ar-SA"/>
              </w:rPr>
            </w:pPr>
            <w:r>
              <w:rPr>
                <w:rFonts w:hint="default" w:ascii="Times New Roman" w:hAnsi="Times New Roman" w:eastAsia="方正仿宋_GB2312" w:cs="Times New Roman"/>
                <w:sz w:val="24"/>
                <w:szCs w:val="24"/>
                <w:lang w:val="en-US" w:eastAsia="zh-CN"/>
              </w:rPr>
              <w:t>教学团队成员从不批改作业、试卷，或遗失删除作业、试卷，尤其是</w:t>
            </w:r>
            <w:r>
              <w:rPr>
                <w:rFonts w:hint="default" w:ascii="Times New Roman" w:hAnsi="Times New Roman" w:eastAsia="方正仿宋_GB2312" w:cs="Times New Roman"/>
                <w:sz w:val="24"/>
                <w:szCs w:val="24"/>
              </w:rPr>
              <w:t>未登录成绩试卷</w:t>
            </w:r>
          </w:p>
        </w:tc>
        <w:tc>
          <w:tcPr>
            <w:tcW w:w="9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仿宋_GB2312" w:cs="Times New Roman"/>
                <w:sz w:val="24"/>
                <w:szCs w:val="24"/>
                <w:lang w:eastAsia="zh-CN"/>
              </w:rPr>
            </w:pPr>
            <w:r>
              <w:rPr>
                <w:rFonts w:hint="eastAsia" w:ascii="Times New Roman" w:hAnsi="Times New Roman" w:eastAsia="方正仿宋_GB2312" w:cs="Times New Roman"/>
                <w:sz w:val="24"/>
                <w:szCs w:val="24"/>
                <w:lang w:val="en-US" w:eastAsia="zh-CN"/>
              </w:rPr>
              <w:t>较大</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方正楷体_GB2312" w:cs="Times New Roman"/>
          <w:b/>
          <w:bCs/>
          <w:sz w:val="28"/>
          <w:szCs w:val="36"/>
          <w:lang w:val="en-US" w:eastAsia="zh-CN"/>
        </w:rPr>
      </w:pPr>
    </w:p>
    <w:p/>
    <w:p>
      <w:pPr>
        <w:rPr>
          <w:rFonts w:ascii="Times New Roman" w:hAnsi="Times New Roman"/>
          <w:sz w:val="32"/>
          <w:szCs w:val="32"/>
        </w:rPr>
      </w:pPr>
    </w:p>
    <w:p/>
    <w:p/>
    <w:p/>
    <w:p/>
    <w:p/>
    <w:p/>
    <w:p/>
    <w:p/>
    <w:p/>
    <w:p/>
    <w:p/>
    <w:p/>
    <w:p/>
    <w:p/>
    <w:p/>
    <w:p/>
    <w:p>
      <w:pPr>
        <w:snapToGrid w:val="0"/>
        <w:jc w:val="left"/>
        <w:rPr>
          <w:rFonts w:ascii="Times New Roman" w:hAnsi="Times New Roman" w:eastAsia="方正小标宋简体"/>
          <w:sz w:val="44"/>
          <w:szCs w:val="44"/>
        </w:rPr>
      </w:pPr>
      <w:r>
        <w:rPr>
          <w:rFonts w:ascii="Times New Roman" w:hAnsi="Times New Roman" w:eastAsia="黑体"/>
          <w:sz w:val="32"/>
          <w:szCs w:val="32"/>
        </w:rPr>
        <w:t>附件</w:t>
      </w:r>
      <w:r>
        <w:rPr>
          <w:rFonts w:hint="eastAsia" w:ascii="Times New Roman" w:hAnsi="Times New Roman" w:eastAsia="黑体"/>
          <w:sz w:val="32"/>
          <w:szCs w:val="32"/>
        </w:rPr>
        <w:t>5</w:t>
      </w:r>
    </w:p>
    <w:p>
      <w:pPr>
        <w:snapToGrid w:val="0"/>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年职业教育国家在线精品课程推荐汇总表</w:t>
      </w:r>
    </w:p>
    <w:p>
      <w:pPr>
        <w:snapToGrid w:val="0"/>
        <w:jc w:val="center"/>
        <w:rPr>
          <w:rFonts w:ascii="Times New Roman" w:hAnsi="Times New Roman" w:eastAsia="方正小标宋简体"/>
          <w:sz w:val="44"/>
          <w:szCs w:val="44"/>
        </w:rPr>
      </w:pPr>
    </w:p>
    <w:p>
      <w:pPr>
        <w:rPr>
          <w:rFonts w:ascii="Times New Roman" w:hAnsi="Times New Roman" w:eastAsia="黑体"/>
          <w:sz w:val="32"/>
          <w:szCs w:val="32"/>
        </w:rPr>
      </w:pPr>
      <w:r>
        <w:rPr>
          <w:rFonts w:hint="eastAsia" w:ascii="Times New Roman" w:hAnsi="Times New Roman" w:eastAsia="黑体"/>
          <w:sz w:val="32"/>
          <w:szCs w:val="32"/>
          <w:lang w:val="en-US" w:eastAsia="zh-CN"/>
        </w:rPr>
        <w:t>省级教育行政部门</w:t>
      </w:r>
      <w:r>
        <w:rPr>
          <w:rFonts w:ascii="Times New Roman" w:hAnsi="Times New Roman" w:eastAsia="黑体"/>
          <w:sz w:val="32"/>
          <w:szCs w:val="32"/>
        </w:rPr>
        <w:t>（盖章）：                                   填报日期：     年     月    日</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713"/>
        <w:gridCol w:w="713"/>
        <w:gridCol w:w="710"/>
        <w:gridCol w:w="713"/>
        <w:gridCol w:w="573"/>
        <w:gridCol w:w="684"/>
        <w:gridCol w:w="887"/>
        <w:gridCol w:w="488"/>
        <w:gridCol w:w="570"/>
        <w:gridCol w:w="722"/>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7"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序号</w:t>
            </w:r>
          </w:p>
        </w:tc>
        <w:tc>
          <w:tcPr>
            <w:tcW w:w="418"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初选推荐单位</w:t>
            </w:r>
          </w:p>
        </w:tc>
        <w:tc>
          <w:tcPr>
            <w:tcW w:w="418"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课程名称</w:t>
            </w:r>
          </w:p>
        </w:tc>
        <w:tc>
          <w:tcPr>
            <w:tcW w:w="416"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教育层次</w:t>
            </w:r>
          </w:p>
        </w:tc>
        <w:tc>
          <w:tcPr>
            <w:tcW w:w="418"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课程纳入建设项目情况</w:t>
            </w:r>
          </w:p>
        </w:tc>
        <w:tc>
          <w:tcPr>
            <w:tcW w:w="336"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课程</w:t>
            </w:r>
          </w:p>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类型</w:t>
            </w:r>
          </w:p>
        </w:tc>
        <w:tc>
          <w:tcPr>
            <w:tcW w:w="401"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专业</w:t>
            </w:r>
          </w:p>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大类</w:t>
            </w:r>
          </w:p>
        </w:tc>
        <w:tc>
          <w:tcPr>
            <w:tcW w:w="520"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专业名称</w:t>
            </w:r>
          </w:p>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（专业代码）</w:t>
            </w:r>
          </w:p>
        </w:tc>
        <w:tc>
          <w:tcPr>
            <w:tcW w:w="286"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学校</w:t>
            </w:r>
          </w:p>
        </w:tc>
        <w:tc>
          <w:tcPr>
            <w:tcW w:w="334"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课程负责人</w:t>
            </w:r>
          </w:p>
        </w:tc>
        <w:tc>
          <w:tcPr>
            <w:tcW w:w="423"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lang w:val="en-US" w:eastAsia="zh-CN"/>
              </w:rPr>
              <w:t>主要开课</w:t>
            </w:r>
            <w:r>
              <w:rPr>
                <w:rFonts w:hint="eastAsia" w:ascii="黑体" w:hAnsi="黑体" w:eastAsia="黑体" w:cs="黑体"/>
                <w:bCs/>
                <w:szCs w:val="21"/>
              </w:rPr>
              <w:t>平台名称</w:t>
            </w:r>
          </w:p>
        </w:tc>
        <w:tc>
          <w:tcPr>
            <w:tcW w:w="608" w:type="pct"/>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黑体" w:hAnsi="黑体" w:eastAsia="黑体" w:cs="黑体"/>
                <w:bCs/>
                <w:szCs w:val="21"/>
              </w:rPr>
            </w:pPr>
            <w:r>
              <w:rPr>
                <w:rFonts w:hint="eastAsia" w:ascii="黑体" w:hAnsi="黑体" w:eastAsia="黑体" w:cs="黑体"/>
                <w:bCs/>
                <w:szCs w:val="21"/>
              </w:rPr>
              <w:t>课程链接及查看教学活动的账号和密码等信息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7" w:type="pct"/>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1</w:t>
            </w:r>
          </w:p>
        </w:tc>
        <w:tc>
          <w:tcPr>
            <w:tcW w:w="418"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416"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336" w:type="pct"/>
          </w:tcPr>
          <w:p>
            <w:pPr>
              <w:spacing w:line="380" w:lineRule="exact"/>
              <w:rPr>
                <w:rFonts w:ascii="Times New Roman" w:hAnsi="Times New Roman" w:eastAsia="仿宋_GB2312"/>
                <w:szCs w:val="21"/>
              </w:rPr>
            </w:pPr>
          </w:p>
        </w:tc>
        <w:tc>
          <w:tcPr>
            <w:tcW w:w="401" w:type="pct"/>
          </w:tcPr>
          <w:p>
            <w:pPr>
              <w:spacing w:line="380" w:lineRule="exact"/>
              <w:rPr>
                <w:rFonts w:ascii="Times New Roman" w:hAnsi="Times New Roman" w:eastAsia="仿宋_GB2312"/>
                <w:szCs w:val="21"/>
              </w:rPr>
            </w:pPr>
          </w:p>
        </w:tc>
        <w:tc>
          <w:tcPr>
            <w:tcW w:w="520" w:type="pct"/>
          </w:tcPr>
          <w:p>
            <w:pPr>
              <w:spacing w:line="380" w:lineRule="exact"/>
              <w:rPr>
                <w:rFonts w:ascii="Times New Roman" w:hAnsi="Times New Roman" w:eastAsia="仿宋_GB2312"/>
                <w:szCs w:val="21"/>
              </w:rPr>
            </w:pPr>
          </w:p>
        </w:tc>
        <w:tc>
          <w:tcPr>
            <w:tcW w:w="286" w:type="pct"/>
          </w:tcPr>
          <w:p>
            <w:pPr>
              <w:spacing w:line="380" w:lineRule="exact"/>
              <w:rPr>
                <w:rFonts w:ascii="Times New Roman" w:hAnsi="Times New Roman" w:eastAsia="仿宋_GB2312"/>
                <w:szCs w:val="21"/>
              </w:rPr>
            </w:pPr>
          </w:p>
        </w:tc>
        <w:tc>
          <w:tcPr>
            <w:tcW w:w="334" w:type="pct"/>
          </w:tcPr>
          <w:p>
            <w:pPr>
              <w:spacing w:line="380" w:lineRule="exact"/>
              <w:rPr>
                <w:rFonts w:ascii="Times New Roman" w:hAnsi="Times New Roman" w:eastAsia="仿宋_GB2312"/>
                <w:szCs w:val="21"/>
              </w:rPr>
            </w:pPr>
          </w:p>
        </w:tc>
        <w:tc>
          <w:tcPr>
            <w:tcW w:w="423" w:type="pct"/>
          </w:tcPr>
          <w:p>
            <w:pPr>
              <w:spacing w:line="380" w:lineRule="exact"/>
              <w:rPr>
                <w:rFonts w:ascii="Times New Roman" w:hAnsi="Times New Roman" w:eastAsia="仿宋_GB2312"/>
                <w:szCs w:val="21"/>
              </w:rPr>
            </w:pPr>
          </w:p>
        </w:tc>
        <w:tc>
          <w:tcPr>
            <w:tcW w:w="608" w:type="pct"/>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7" w:type="pct"/>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2</w:t>
            </w:r>
          </w:p>
        </w:tc>
        <w:tc>
          <w:tcPr>
            <w:tcW w:w="418"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416"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336" w:type="pct"/>
          </w:tcPr>
          <w:p>
            <w:pPr>
              <w:spacing w:line="380" w:lineRule="exact"/>
              <w:rPr>
                <w:rFonts w:ascii="Times New Roman" w:hAnsi="Times New Roman" w:eastAsia="仿宋_GB2312"/>
                <w:szCs w:val="21"/>
              </w:rPr>
            </w:pPr>
          </w:p>
        </w:tc>
        <w:tc>
          <w:tcPr>
            <w:tcW w:w="401" w:type="pct"/>
          </w:tcPr>
          <w:p>
            <w:pPr>
              <w:spacing w:line="380" w:lineRule="exact"/>
              <w:rPr>
                <w:rFonts w:ascii="Times New Roman" w:hAnsi="Times New Roman" w:eastAsia="仿宋_GB2312"/>
                <w:szCs w:val="21"/>
              </w:rPr>
            </w:pPr>
          </w:p>
        </w:tc>
        <w:tc>
          <w:tcPr>
            <w:tcW w:w="520" w:type="pct"/>
          </w:tcPr>
          <w:p>
            <w:pPr>
              <w:spacing w:line="380" w:lineRule="exact"/>
              <w:rPr>
                <w:rFonts w:ascii="Times New Roman" w:hAnsi="Times New Roman" w:eastAsia="仿宋_GB2312"/>
                <w:szCs w:val="21"/>
              </w:rPr>
            </w:pPr>
          </w:p>
        </w:tc>
        <w:tc>
          <w:tcPr>
            <w:tcW w:w="286" w:type="pct"/>
          </w:tcPr>
          <w:p>
            <w:pPr>
              <w:spacing w:line="380" w:lineRule="exact"/>
              <w:rPr>
                <w:rFonts w:ascii="Times New Roman" w:hAnsi="Times New Roman" w:eastAsia="仿宋_GB2312"/>
                <w:szCs w:val="21"/>
              </w:rPr>
            </w:pPr>
          </w:p>
        </w:tc>
        <w:tc>
          <w:tcPr>
            <w:tcW w:w="334" w:type="pct"/>
          </w:tcPr>
          <w:p>
            <w:pPr>
              <w:spacing w:line="380" w:lineRule="exact"/>
              <w:rPr>
                <w:rFonts w:ascii="Times New Roman" w:hAnsi="Times New Roman" w:eastAsia="仿宋_GB2312"/>
                <w:szCs w:val="21"/>
              </w:rPr>
            </w:pPr>
          </w:p>
        </w:tc>
        <w:tc>
          <w:tcPr>
            <w:tcW w:w="423" w:type="pct"/>
          </w:tcPr>
          <w:p>
            <w:pPr>
              <w:spacing w:line="380" w:lineRule="exact"/>
              <w:rPr>
                <w:rFonts w:ascii="Times New Roman" w:hAnsi="Times New Roman" w:eastAsia="仿宋_GB2312"/>
                <w:szCs w:val="21"/>
              </w:rPr>
            </w:pPr>
          </w:p>
        </w:tc>
        <w:tc>
          <w:tcPr>
            <w:tcW w:w="608" w:type="pct"/>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7" w:type="pct"/>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3</w:t>
            </w:r>
          </w:p>
        </w:tc>
        <w:tc>
          <w:tcPr>
            <w:tcW w:w="418"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416"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336" w:type="pct"/>
          </w:tcPr>
          <w:p>
            <w:pPr>
              <w:spacing w:line="380" w:lineRule="exact"/>
              <w:rPr>
                <w:rFonts w:ascii="Times New Roman" w:hAnsi="Times New Roman" w:eastAsia="仿宋_GB2312"/>
                <w:szCs w:val="21"/>
              </w:rPr>
            </w:pPr>
          </w:p>
        </w:tc>
        <w:tc>
          <w:tcPr>
            <w:tcW w:w="401" w:type="pct"/>
          </w:tcPr>
          <w:p>
            <w:pPr>
              <w:spacing w:line="380" w:lineRule="exact"/>
              <w:rPr>
                <w:rFonts w:ascii="Times New Roman" w:hAnsi="Times New Roman" w:eastAsia="仿宋_GB2312"/>
                <w:szCs w:val="21"/>
              </w:rPr>
            </w:pPr>
          </w:p>
        </w:tc>
        <w:tc>
          <w:tcPr>
            <w:tcW w:w="520" w:type="pct"/>
          </w:tcPr>
          <w:p>
            <w:pPr>
              <w:spacing w:line="380" w:lineRule="exact"/>
              <w:rPr>
                <w:rFonts w:ascii="Times New Roman" w:hAnsi="Times New Roman" w:eastAsia="仿宋_GB2312"/>
                <w:szCs w:val="21"/>
              </w:rPr>
            </w:pPr>
          </w:p>
        </w:tc>
        <w:tc>
          <w:tcPr>
            <w:tcW w:w="286" w:type="pct"/>
          </w:tcPr>
          <w:p>
            <w:pPr>
              <w:spacing w:line="380" w:lineRule="exact"/>
              <w:rPr>
                <w:rFonts w:ascii="Times New Roman" w:hAnsi="Times New Roman" w:eastAsia="仿宋_GB2312"/>
                <w:szCs w:val="21"/>
              </w:rPr>
            </w:pPr>
          </w:p>
        </w:tc>
        <w:tc>
          <w:tcPr>
            <w:tcW w:w="334" w:type="pct"/>
          </w:tcPr>
          <w:p>
            <w:pPr>
              <w:spacing w:line="380" w:lineRule="exact"/>
              <w:rPr>
                <w:rFonts w:ascii="Times New Roman" w:hAnsi="Times New Roman" w:eastAsia="仿宋_GB2312"/>
                <w:szCs w:val="21"/>
              </w:rPr>
            </w:pPr>
          </w:p>
        </w:tc>
        <w:tc>
          <w:tcPr>
            <w:tcW w:w="423" w:type="pct"/>
          </w:tcPr>
          <w:p>
            <w:pPr>
              <w:spacing w:line="380" w:lineRule="exact"/>
              <w:rPr>
                <w:rFonts w:ascii="Times New Roman" w:hAnsi="Times New Roman" w:eastAsia="仿宋_GB2312"/>
                <w:szCs w:val="21"/>
              </w:rPr>
            </w:pPr>
          </w:p>
        </w:tc>
        <w:tc>
          <w:tcPr>
            <w:tcW w:w="608" w:type="pct"/>
          </w:tcPr>
          <w:p>
            <w:pPr>
              <w:spacing w:line="380" w:lineRule="exact"/>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17" w:type="pct"/>
            <w:vAlign w:val="center"/>
          </w:tcPr>
          <w:p>
            <w:pPr>
              <w:spacing w:line="380" w:lineRule="exact"/>
              <w:jc w:val="center"/>
              <w:rPr>
                <w:rFonts w:ascii="Times New Roman" w:hAnsi="Times New Roman" w:eastAsia="仿宋_GB2312"/>
                <w:szCs w:val="21"/>
              </w:rPr>
            </w:pPr>
            <w:r>
              <w:rPr>
                <w:rFonts w:ascii="Times New Roman" w:hAnsi="Times New Roman" w:eastAsia="仿宋_GB2312"/>
                <w:szCs w:val="21"/>
              </w:rPr>
              <w:t>……</w:t>
            </w:r>
          </w:p>
        </w:tc>
        <w:tc>
          <w:tcPr>
            <w:tcW w:w="418"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416" w:type="pct"/>
          </w:tcPr>
          <w:p>
            <w:pPr>
              <w:spacing w:line="380" w:lineRule="exact"/>
              <w:rPr>
                <w:rFonts w:ascii="Times New Roman" w:hAnsi="Times New Roman" w:eastAsia="仿宋_GB2312"/>
                <w:szCs w:val="21"/>
              </w:rPr>
            </w:pPr>
          </w:p>
        </w:tc>
        <w:tc>
          <w:tcPr>
            <w:tcW w:w="418" w:type="pct"/>
          </w:tcPr>
          <w:p>
            <w:pPr>
              <w:spacing w:line="380" w:lineRule="exact"/>
              <w:rPr>
                <w:rFonts w:ascii="Times New Roman" w:hAnsi="Times New Roman" w:eastAsia="仿宋_GB2312"/>
                <w:szCs w:val="21"/>
              </w:rPr>
            </w:pPr>
          </w:p>
        </w:tc>
        <w:tc>
          <w:tcPr>
            <w:tcW w:w="336" w:type="pct"/>
          </w:tcPr>
          <w:p>
            <w:pPr>
              <w:spacing w:line="380" w:lineRule="exact"/>
              <w:rPr>
                <w:rFonts w:ascii="Times New Roman" w:hAnsi="Times New Roman" w:eastAsia="仿宋_GB2312"/>
                <w:szCs w:val="21"/>
              </w:rPr>
            </w:pPr>
          </w:p>
        </w:tc>
        <w:tc>
          <w:tcPr>
            <w:tcW w:w="401" w:type="pct"/>
          </w:tcPr>
          <w:p>
            <w:pPr>
              <w:spacing w:line="380" w:lineRule="exact"/>
              <w:rPr>
                <w:rFonts w:ascii="Times New Roman" w:hAnsi="Times New Roman" w:eastAsia="仿宋_GB2312"/>
                <w:szCs w:val="21"/>
              </w:rPr>
            </w:pPr>
          </w:p>
        </w:tc>
        <w:tc>
          <w:tcPr>
            <w:tcW w:w="520" w:type="pct"/>
          </w:tcPr>
          <w:p>
            <w:pPr>
              <w:spacing w:line="380" w:lineRule="exact"/>
              <w:rPr>
                <w:rFonts w:ascii="Times New Roman" w:hAnsi="Times New Roman" w:eastAsia="仿宋_GB2312"/>
                <w:szCs w:val="21"/>
              </w:rPr>
            </w:pPr>
          </w:p>
        </w:tc>
        <w:tc>
          <w:tcPr>
            <w:tcW w:w="286" w:type="pct"/>
          </w:tcPr>
          <w:p>
            <w:pPr>
              <w:spacing w:line="380" w:lineRule="exact"/>
              <w:rPr>
                <w:rFonts w:ascii="Times New Roman" w:hAnsi="Times New Roman" w:eastAsia="仿宋_GB2312"/>
                <w:szCs w:val="21"/>
              </w:rPr>
            </w:pPr>
          </w:p>
        </w:tc>
        <w:tc>
          <w:tcPr>
            <w:tcW w:w="334" w:type="pct"/>
          </w:tcPr>
          <w:p>
            <w:pPr>
              <w:spacing w:line="380" w:lineRule="exact"/>
              <w:rPr>
                <w:rFonts w:ascii="Times New Roman" w:hAnsi="Times New Roman" w:eastAsia="仿宋_GB2312"/>
                <w:szCs w:val="21"/>
              </w:rPr>
            </w:pPr>
          </w:p>
        </w:tc>
        <w:tc>
          <w:tcPr>
            <w:tcW w:w="423" w:type="pct"/>
          </w:tcPr>
          <w:p>
            <w:pPr>
              <w:spacing w:line="380" w:lineRule="exact"/>
              <w:rPr>
                <w:rFonts w:ascii="Times New Roman" w:hAnsi="Times New Roman" w:eastAsia="仿宋_GB2312"/>
                <w:szCs w:val="21"/>
              </w:rPr>
            </w:pPr>
          </w:p>
        </w:tc>
        <w:tc>
          <w:tcPr>
            <w:tcW w:w="608" w:type="pct"/>
          </w:tcPr>
          <w:p>
            <w:pPr>
              <w:spacing w:line="380" w:lineRule="exact"/>
              <w:rPr>
                <w:rFonts w:ascii="Times New Roman" w:hAnsi="Times New Roman" w:eastAsia="仿宋_GB2312"/>
                <w:szCs w:val="21"/>
              </w:rPr>
            </w:pPr>
          </w:p>
        </w:tc>
      </w:tr>
    </w:tbl>
    <w:p>
      <w:pPr>
        <w:snapToGrid w:val="0"/>
        <w:ind w:right="-474" w:rightChars="-226"/>
        <w:rPr>
          <w:rFonts w:hint="eastAsia" w:ascii="仿宋_GB2312" w:hAnsi="仿宋_GB2312" w:eastAsia="仿宋_GB2312" w:cs="仿宋_GB2312"/>
          <w:szCs w:val="21"/>
        </w:rPr>
      </w:pPr>
      <w:r>
        <w:rPr>
          <w:rFonts w:hint="eastAsia" w:ascii="仿宋_GB2312" w:hAnsi="仿宋_GB2312" w:eastAsia="仿宋_GB2312" w:cs="仿宋_GB2312"/>
          <w:szCs w:val="21"/>
        </w:rPr>
        <w:t>注:应规范填写表格内容，按提供选项完善填报</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初选推荐单位为省级教育行政部门或行指委、教指委，应填写</w:t>
      </w:r>
      <w:r>
        <w:rPr>
          <w:rFonts w:hint="eastAsia" w:ascii="仿宋_GB2312" w:hAnsi="仿宋_GB2312" w:eastAsia="仿宋_GB2312" w:cs="仿宋_GB2312"/>
          <w:szCs w:val="21"/>
        </w:rPr>
        <w:t>初选推荐单位标准全称。</w:t>
      </w:r>
    </w:p>
    <w:p>
      <w:pPr>
        <w:snapToGrid w:val="0"/>
        <w:ind w:right="-474" w:rightChars="-226"/>
        <w:rPr>
          <w:rFonts w:hint="eastAsia" w:ascii="仿宋_GB2312" w:hAnsi="仿宋_GB2312" w:eastAsia="仿宋_GB2312" w:cs="仿宋_GB2312"/>
          <w:szCs w:val="21"/>
        </w:rPr>
      </w:pPr>
      <w:r>
        <w:rPr>
          <w:rFonts w:hint="eastAsia" w:ascii="仿宋_GB2312" w:hAnsi="仿宋_GB2312" w:eastAsia="仿宋_GB2312" w:cs="仿宋_GB2312"/>
          <w:szCs w:val="21"/>
        </w:rPr>
        <w:t>1.教育层次：中职；高职专科；</w:t>
      </w:r>
      <w:r>
        <w:rPr>
          <w:rFonts w:hint="eastAsia" w:ascii="仿宋_GB2312" w:hAnsi="仿宋_GB2312" w:eastAsia="仿宋_GB2312" w:cs="仿宋_GB2312"/>
          <w:szCs w:val="21"/>
          <w:lang w:val="en-US" w:eastAsia="zh-CN"/>
        </w:rPr>
        <w:t>职业本科</w:t>
      </w:r>
      <w:r>
        <w:rPr>
          <w:rFonts w:hint="eastAsia" w:ascii="仿宋_GB2312" w:hAnsi="仿宋_GB2312" w:eastAsia="仿宋_GB2312" w:cs="仿宋_GB2312"/>
          <w:szCs w:val="21"/>
        </w:rPr>
        <w:t>。</w:t>
      </w:r>
    </w:p>
    <w:p>
      <w:pPr>
        <w:snapToGrid w:val="0"/>
        <w:ind w:right="-474" w:rightChars="-226"/>
        <w:rPr>
          <w:rFonts w:hint="eastAsia" w:ascii="仿宋_GB2312" w:hAnsi="仿宋_GB2312" w:eastAsia="仿宋_GB2312" w:cs="仿宋_GB2312"/>
          <w:szCs w:val="21"/>
          <w:highlight w:val="yellow"/>
        </w:rPr>
      </w:pPr>
      <w:r>
        <w:rPr>
          <w:rFonts w:hint="eastAsia" w:ascii="仿宋_GB2312" w:hAnsi="仿宋_GB2312" w:eastAsia="仿宋_GB2312" w:cs="仿宋_GB2312"/>
          <w:szCs w:val="21"/>
        </w:rPr>
        <w:t>2.课程纳入建设项目情况：国家级专业教学资源库；省级专业教学资源库；国家精品在线开放课程；国家级课程思政示范课程；国家规划教材配套数字课程；优秀教材奖配套数字课程；省级精品在线开放课程；省级课程思政示范课程等。</w:t>
      </w:r>
    </w:p>
    <w:p>
      <w:pPr>
        <w:snapToGrid w:val="0"/>
        <w:ind w:right="-474" w:rightChars="-226"/>
        <w:rPr>
          <w:rFonts w:hint="eastAsia" w:ascii="仿宋_GB2312" w:hAnsi="仿宋_GB2312" w:eastAsia="仿宋_GB2312" w:cs="仿宋_GB2312"/>
          <w:szCs w:val="21"/>
        </w:rPr>
      </w:pPr>
      <w:r>
        <w:rPr>
          <w:rFonts w:hint="eastAsia" w:ascii="仿宋_GB2312" w:hAnsi="仿宋_GB2312" w:eastAsia="仿宋_GB2312" w:cs="仿宋_GB2312"/>
          <w:szCs w:val="21"/>
        </w:rPr>
        <w:t>3.课程类型：公共基础课；专业（技能）课；其他课程。</w:t>
      </w:r>
    </w:p>
    <w:p>
      <w:pPr>
        <w:rPr>
          <w:rFonts w:hint="eastAsia" w:ascii="仿宋_GB2312" w:hAnsi="仿宋_GB2312" w:eastAsia="仿宋_GB2312" w:cs="仿宋_GB2312"/>
        </w:rPr>
      </w:pPr>
      <w:r>
        <w:rPr>
          <w:rFonts w:hint="eastAsia" w:ascii="仿宋_GB2312" w:hAnsi="仿宋_GB2312" w:eastAsia="仿宋_GB2312" w:cs="仿宋_GB2312"/>
          <w:szCs w:val="21"/>
        </w:rPr>
        <w:t>4.所属专业大类：农林牧渔大类；资源环境与安全大类；能源动力与材料大类；土木建筑大类；水利大类；装备制造大类；生物与化工大类；轻工纺织大类；食品药品与粮食大类；交通运输大类；电子与信息大类；医药卫生大类；财经商贸大类；旅游大类；文化艺术大类；新闻传播大类；教育与体育大类；公安与司法大类；公共管理与服务大类。公共基础课不填。</w:t>
      </w:r>
    </w:p>
    <w:p/>
    <w:sectPr>
      <w:headerReference r:id="rId3" w:type="default"/>
      <w:footerReference r:id="rId4" w:type="default"/>
      <w:pgSz w:w="11906" w:h="16838"/>
      <w:pgMar w:top="1440" w:right="1800" w:bottom="1440" w:left="1800" w:header="851" w:footer="850"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2312">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3"/>
                      <w:rPr>
                        <w:rStyle w:val="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mZiYTAzZTEyODBhMWU0ZTA2NTRjZjIxOWNiMWQifQ=="/>
  </w:docVars>
  <w:rsids>
    <w:rsidRoot w:val="12407740"/>
    <w:rsid w:val="1240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qFormat/>
    <w:uiPriority w:val="34"/>
    <w:pPr>
      <w:ind w:firstLine="420" w:firstLineChars="200"/>
    </w:pPr>
  </w:style>
  <w:style w:type="paragraph" w:customStyle="1" w:styleId="1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2024-01-04T01:37:00Z</dcterms:created>
  <dc:creator>向往</dc:creator>
  <cp:lastModifiedBy>向往</cp:lastModifiedBy>
  <dcterms:modified xsi:type="dcterms:W3CDTF">2024-01-04T01:42:32Z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36BFA75C522440FEA34AF1AFC5BD454E_11</vt:lpwstr>
  </property>
</Properties>
</file>