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sz w:val="32"/>
          <w:szCs w:val="32"/>
        </w:rPr>
      </w:pPr>
      <w:r>
        <w:rPr>
          <w:rFonts w:hint="eastAsia" w:ascii="黑体" w:hAnsi="黑体" w:eastAsia="黑体"/>
          <w:sz w:val="32"/>
          <w:szCs w:val="32"/>
        </w:rPr>
        <w:t>附件</w:t>
      </w:r>
    </w:p>
    <w:p>
      <w:pPr>
        <w:pStyle w:val="4"/>
        <w:spacing w:before="0" w:beforeAutospacing="0" w:after="0" w:line="460" w:lineRule="exact"/>
        <w:ind w:firstLine="0" w:firstLineChars="0"/>
        <w:jc w:val="center"/>
        <w:rPr>
          <w:rFonts w:hint="eastAsia" w:ascii="方正小标宋简体" w:hAnsi="华文中宋" w:eastAsia="方正小标宋简体"/>
          <w:sz w:val="38"/>
          <w:szCs w:val="38"/>
        </w:rPr>
      </w:pPr>
      <w:r>
        <w:rPr>
          <w:rFonts w:hint="eastAsia" w:ascii="方正小标宋简体" w:hAnsi="华文中宋" w:eastAsia="方正小标宋简体"/>
          <w:sz w:val="38"/>
          <w:szCs w:val="38"/>
        </w:rPr>
        <w:t>上海市生态文明建设示范学校</w:t>
      </w:r>
    </w:p>
    <w:p>
      <w:pPr>
        <w:pStyle w:val="4"/>
        <w:spacing w:before="0" w:beforeAutospacing="0" w:after="0" w:line="460" w:lineRule="exact"/>
        <w:ind w:firstLine="0" w:firstLineChars="0"/>
        <w:jc w:val="center"/>
        <w:rPr>
          <w:rFonts w:hint="eastAsia" w:ascii="方正小标宋简体" w:hAnsi="华文中宋" w:eastAsia="方正小标宋简体"/>
          <w:sz w:val="38"/>
          <w:szCs w:val="38"/>
        </w:rPr>
      </w:pPr>
      <w:r>
        <w:rPr>
          <w:rFonts w:hint="eastAsia" w:ascii="方正小标宋简体" w:hAnsi="华文中宋" w:eastAsia="方正小标宋简体"/>
          <w:sz w:val="38"/>
          <w:szCs w:val="38"/>
        </w:rPr>
        <w:t>（高等学校）创建评价标准</w:t>
      </w:r>
    </w:p>
    <w:p>
      <w:pPr>
        <w:pStyle w:val="4"/>
        <w:spacing w:before="0" w:beforeAutospacing="0" w:after="0" w:line="460" w:lineRule="exact"/>
        <w:ind w:firstLine="0" w:firstLineChars="0"/>
        <w:rPr>
          <w:rFonts w:hint="eastAsia" w:ascii="仿宋_GB2312" w:eastAsia="仿宋_GB2312"/>
          <w:sz w:val="30"/>
          <w:szCs w:val="30"/>
        </w:rPr>
      </w:pPr>
      <w:r>
        <w:rPr>
          <w:rFonts w:hint="eastAsia" w:ascii="仿宋_GB2312" w:eastAsia="仿宋_GB2312"/>
          <w:sz w:val="30"/>
          <w:szCs w:val="30"/>
        </w:rPr>
        <w:t xml:space="preserve"> </w:t>
      </w:r>
    </w:p>
    <w:p>
      <w:pPr>
        <w:spacing w:line="460" w:lineRule="exact"/>
        <w:jc w:val="center"/>
        <w:rPr>
          <w:rFonts w:hint="eastAsia" w:ascii="黑体" w:hAnsi="黑体" w:eastAsia="黑体"/>
          <w:bCs/>
          <w:sz w:val="30"/>
          <w:szCs w:val="30"/>
        </w:rPr>
      </w:pPr>
      <w:r>
        <w:rPr>
          <w:rFonts w:hint="eastAsia" w:ascii="黑体" w:hAnsi="黑体" w:eastAsia="黑体"/>
          <w:bCs/>
          <w:sz w:val="30"/>
          <w:szCs w:val="30"/>
        </w:rPr>
        <w:t>第一章 总则</w:t>
      </w:r>
    </w:p>
    <w:p>
      <w:pPr>
        <w:spacing w:line="460" w:lineRule="exact"/>
        <w:ind w:firstLine="606" w:firstLineChars="202"/>
        <w:rPr>
          <w:rFonts w:hint="eastAsia" w:ascii="仿宋_GB2312" w:hAnsi="宋体" w:eastAsia="仿宋_GB2312"/>
          <w:sz w:val="30"/>
          <w:szCs w:val="30"/>
        </w:rPr>
      </w:pPr>
      <w:r>
        <w:rPr>
          <w:rFonts w:hint="eastAsia" w:ascii="仿宋_GB2312" w:hAnsi="宋体" w:eastAsia="仿宋_GB2312"/>
          <w:sz w:val="30"/>
          <w:szCs w:val="30"/>
        </w:rPr>
        <w:t>1.为规范开展上海市生态文明建设示范学校创建评价工作，根据《上海市生态文明建设示范学校创建行动方案》，制定本评价标准。</w:t>
      </w:r>
    </w:p>
    <w:p>
      <w:pPr>
        <w:spacing w:line="460" w:lineRule="exact"/>
        <w:ind w:firstLine="606" w:firstLineChars="202"/>
        <w:rPr>
          <w:rFonts w:hint="eastAsia" w:ascii="仿宋_GB2312" w:hAnsi="宋体" w:eastAsia="仿宋_GB2312"/>
          <w:sz w:val="30"/>
          <w:szCs w:val="30"/>
        </w:rPr>
      </w:pPr>
      <w:r>
        <w:rPr>
          <w:rFonts w:hint="eastAsia" w:ascii="仿宋_GB2312" w:hAnsi="宋体" w:eastAsia="仿宋_GB2312"/>
          <w:sz w:val="30"/>
          <w:szCs w:val="30"/>
        </w:rPr>
        <w:t>2.本评价标准适用对象为上海市高等学校（含公办和民办高校、部属和市属高校、普通和成人高校），申报学校应满足以下条件：已获得“上海市绿色学校”称号，且评价总分≥97分；学校的“单位建筑面积年综合能耗值”应满足且低于《上海市高等学校建筑合理用能指南》规定的约束值（2024年度申报学校采用2023年度能耗数据，2025年度申报学校采用2024年度能耗数据）。</w:t>
      </w:r>
    </w:p>
    <w:p>
      <w:pPr>
        <w:spacing w:line="460" w:lineRule="exact"/>
        <w:ind w:firstLine="606" w:firstLineChars="202"/>
        <w:rPr>
          <w:rFonts w:hint="eastAsia" w:ascii="仿宋_GB2312" w:hAnsi="宋体" w:eastAsia="仿宋_GB2312"/>
          <w:sz w:val="30"/>
          <w:szCs w:val="30"/>
        </w:rPr>
      </w:pPr>
      <w:r>
        <w:rPr>
          <w:rFonts w:hint="eastAsia" w:ascii="仿宋_GB2312" w:hAnsi="宋体" w:eastAsia="仿宋_GB2312"/>
          <w:sz w:val="30"/>
          <w:szCs w:val="30"/>
        </w:rPr>
        <w:t>3.本评价标准的评价体系由“上海市绿色学校”创建情况、《上海市高等学校建筑合理用能指南》达标情况及示范创建综合评价三个部分组成，分值占比分别为25%、25%和50%。</w:t>
      </w:r>
    </w:p>
    <w:p>
      <w:pPr>
        <w:spacing w:line="460" w:lineRule="exact"/>
        <w:ind w:firstLine="606" w:firstLineChars="202"/>
        <w:rPr>
          <w:rFonts w:hint="eastAsia" w:ascii="仿宋_GB2312" w:hAnsi="宋体" w:eastAsia="仿宋_GB2312"/>
          <w:sz w:val="30"/>
          <w:szCs w:val="30"/>
        </w:rPr>
      </w:pPr>
      <w:r>
        <w:rPr>
          <w:rFonts w:hint="eastAsia" w:ascii="仿宋_GB2312" w:hAnsi="宋体" w:eastAsia="仿宋_GB2312"/>
          <w:sz w:val="30"/>
          <w:szCs w:val="30"/>
        </w:rPr>
        <w:t>4.评价主要采用材料评定、实地考察等形式。其中，材料评定包括线上填报、线上审核、专家评审等形式，实地考察包括校园踏勘、汇报座谈等形式。</w:t>
      </w:r>
    </w:p>
    <w:p>
      <w:pPr>
        <w:spacing w:line="460" w:lineRule="exact"/>
        <w:ind w:firstLine="606" w:firstLineChars="202"/>
        <w:rPr>
          <w:rFonts w:hint="eastAsia" w:ascii="仿宋_GB2312" w:hAnsi="宋体" w:eastAsia="仿宋_GB2312"/>
          <w:sz w:val="30"/>
          <w:szCs w:val="30"/>
        </w:rPr>
      </w:pPr>
      <w:r>
        <w:rPr>
          <w:rFonts w:hint="eastAsia" w:ascii="仿宋_GB2312" w:hAnsi="宋体" w:eastAsia="仿宋_GB2312"/>
          <w:sz w:val="30"/>
          <w:szCs w:val="30"/>
        </w:rPr>
        <w:t>5.评价总分为100分，由评审专家综合评定，符合要求的学校将授予“上海市生态文明建设示范学校”称号。</w:t>
      </w:r>
    </w:p>
    <w:p>
      <w:pPr>
        <w:spacing w:line="460" w:lineRule="exact"/>
        <w:ind w:firstLine="600"/>
        <w:rPr>
          <w:rFonts w:hint="eastAsia" w:ascii="仿宋_GB2312" w:hAnsi="宋体" w:eastAsia="仿宋_GB2312"/>
          <w:sz w:val="30"/>
          <w:szCs w:val="30"/>
        </w:rPr>
      </w:pPr>
      <w:r>
        <w:rPr>
          <w:rFonts w:hint="eastAsia" w:ascii="仿宋_GB2312" w:hAnsi="宋体" w:eastAsia="仿宋_GB2312"/>
          <w:sz w:val="30"/>
          <w:szCs w:val="30"/>
        </w:rPr>
        <w:t>6.本评价标准由上海市教育委员会负责解释。</w:t>
      </w:r>
    </w:p>
    <w:p>
      <w:pPr>
        <w:spacing w:line="500" w:lineRule="exact"/>
        <w:jc w:val="center"/>
        <w:rPr>
          <w:rFonts w:hint="eastAsia" w:ascii="黑体" w:hAnsi="黑体" w:eastAsia="黑体"/>
          <w:bCs/>
          <w:sz w:val="30"/>
          <w:szCs w:val="30"/>
        </w:rPr>
      </w:pPr>
      <w:r>
        <w:rPr>
          <w:rFonts w:hint="eastAsia" w:ascii="黑体" w:hAnsi="黑体" w:eastAsia="黑体"/>
          <w:bCs/>
          <w:sz w:val="30"/>
          <w:szCs w:val="30"/>
        </w:rPr>
        <w:t>第二章 创建评价条款</w:t>
      </w:r>
    </w:p>
    <w:tbl>
      <w:tblPr>
        <w:tblStyle w:val="2"/>
        <w:tblW w:w="9035" w:type="dxa"/>
        <w:tblInd w:w="2" w:type="dxa"/>
        <w:tblLayout w:type="fixed"/>
        <w:tblCellMar>
          <w:top w:w="0" w:type="dxa"/>
          <w:left w:w="106" w:type="dxa"/>
          <w:bottom w:w="0" w:type="dxa"/>
          <w:right w:w="2" w:type="dxa"/>
        </w:tblCellMar>
      </w:tblPr>
      <w:tblGrid>
        <w:gridCol w:w="425"/>
        <w:gridCol w:w="865"/>
        <w:gridCol w:w="2629"/>
        <w:gridCol w:w="740"/>
        <w:gridCol w:w="2816"/>
        <w:gridCol w:w="1560"/>
      </w:tblGrid>
      <w:tr>
        <w:tblPrEx>
          <w:tblCellMar>
            <w:top w:w="0" w:type="dxa"/>
            <w:left w:w="106" w:type="dxa"/>
            <w:bottom w:w="0" w:type="dxa"/>
            <w:right w:w="2" w:type="dxa"/>
          </w:tblCellMar>
        </w:tblPrEx>
        <w:trPr>
          <w:trHeight w:val="576" w:hRule="atLeast"/>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序号</w:t>
            </w:r>
          </w:p>
        </w:tc>
        <w:tc>
          <w:tcPr>
            <w:tcW w:w="865" w:type="dxa"/>
            <w:tcBorders>
              <w:top w:val="single" w:color="000000" w:sz="4" w:space="0"/>
              <w:left w:val="nil"/>
              <w:bottom w:val="single" w:color="000000" w:sz="4" w:space="0"/>
              <w:right w:val="single" w:color="000000"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评分项目</w:t>
            </w:r>
          </w:p>
        </w:tc>
        <w:tc>
          <w:tcPr>
            <w:tcW w:w="2629"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评分说明</w:t>
            </w:r>
          </w:p>
        </w:tc>
        <w:tc>
          <w:tcPr>
            <w:tcW w:w="740" w:type="dxa"/>
            <w:tcBorders>
              <w:top w:val="single" w:color="000000" w:sz="4" w:space="0"/>
              <w:left w:val="nil"/>
              <w:bottom w:val="single" w:color="000000" w:sz="4" w:space="0"/>
              <w:right w:val="single" w:color="000000"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评分区间</w:t>
            </w:r>
          </w:p>
        </w:tc>
        <w:tc>
          <w:tcPr>
            <w:tcW w:w="2816" w:type="dxa"/>
            <w:tcBorders>
              <w:top w:val="single" w:color="000000" w:sz="4" w:space="0"/>
              <w:left w:val="nil"/>
              <w:bottom w:val="single" w:color="000000" w:sz="4" w:space="0"/>
              <w:right w:val="single" w:color="000000" w:sz="4" w:space="0"/>
            </w:tcBorders>
            <w:noWrap w:val="0"/>
            <w:vAlign w:val="center"/>
          </w:tcPr>
          <w:p>
            <w:pPr>
              <w:spacing w:line="240" w:lineRule="exact"/>
              <w:ind w:right="106"/>
              <w:jc w:val="center"/>
              <w:rPr>
                <w:rFonts w:ascii="宋体" w:hAnsi="宋体"/>
                <w:sz w:val="18"/>
                <w:szCs w:val="18"/>
              </w:rPr>
            </w:pPr>
            <w:r>
              <w:rPr>
                <w:rFonts w:hint="eastAsia" w:ascii="宋体" w:hAnsi="宋体"/>
                <w:sz w:val="18"/>
                <w:szCs w:val="18"/>
              </w:rPr>
              <w:t>评分规则</w:t>
            </w:r>
          </w:p>
        </w:tc>
        <w:tc>
          <w:tcPr>
            <w:tcW w:w="1560" w:type="dxa"/>
            <w:tcBorders>
              <w:top w:val="single" w:color="000000" w:sz="4" w:space="0"/>
              <w:left w:val="nil"/>
              <w:bottom w:val="single" w:color="000000" w:sz="4" w:space="0"/>
              <w:right w:val="single" w:color="000000" w:sz="4" w:space="0"/>
            </w:tcBorders>
            <w:noWrap w:val="0"/>
            <w:vAlign w:val="center"/>
          </w:tcPr>
          <w:p>
            <w:pPr>
              <w:spacing w:line="240" w:lineRule="exact"/>
              <w:ind w:right="106"/>
              <w:jc w:val="center"/>
              <w:rPr>
                <w:rFonts w:ascii="宋体" w:hAnsi="宋体"/>
                <w:sz w:val="18"/>
                <w:szCs w:val="18"/>
              </w:rPr>
            </w:pPr>
            <w:r>
              <w:rPr>
                <w:rFonts w:hint="eastAsia" w:ascii="宋体" w:hAnsi="宋体"/>
                <w:sz w:val="18"/>
                <w:szCs w:val="18"/>
              </w:rPr>
              <w:t>分值</w:t>
            </w:r>
          </w:p>
        </w:tc>
      </w:tr>
      <w:tr>
        <w:tblPrEx>
          <w:tblCellMar>
            <w:top w:w="0" w:type="dxa"/>
            <w:left w:w="106" w:type="dxa"/>
            <w:bottom w:w="0" w:type="dxa"/>
            <w:right w:w="2" w:type="dxa"/>
          </w:tblCellMar>
        </w:tblPrEx>
        <w:trPr>
          <w:trHeight w:val="1318" w:hRule="atLeast"/>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1</w:t>
            </w:r>
          </w:p>
        </w:tc>
        <w:tc>
          <w:tcPr>
            <w:tcW w:w="865"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绿色学校创建情况</w:t>
            </w:r>
          </w:p>
          <w:p>
            <w:pPr>
              <w:spacing w:line="240" w:lineRule="exact"/>
              <w:jc w:val="center"/>
              <w:rPr>
                <w:rFonts w:ascii="宋体" w:hAnsi="宋体"/>
                <w:sz w:val="18"/>
                <w:szCs w:val="18"/>
              </w:rPr>
            </w:pPr>
            <w:r>
              <w:rPr>
                <w:rFonts w:hint="eastAsia" w:ascii="宋体" w:hAnsi="宋体"/>
                <w:sz w:val="18"/>
                <w:szCs w:val="18"/>
              </w:rPr>
              <w:t xml:space="preserve">（25分） </w:t>
            </w:r>
          </w:p>
        </w:tc>
        <w:tc>
          <w:tcPr>
            <w:tcW w:w="2629" w:type="dxa"/>
            <w:tcBorders>
              <w:top w:val="single" w:color="000000" w:sz="4" w:space="0"/>
              <w:left w:val="nil"/>
              <w:bottom w:val="single" w:color="000000" w:sz="4" w:space="0"/>
              <w:right w:val="single" w:color="000000" w:sz="4" w:space="0"/>
            </w:tcBorders>
            <w:noWrap w:val="0"/>
            <w:vAlign w:val="center"/>
          </w:tcPr>
          <w:p>
            <w:pPr>
              <w:spacing w:line="240" w:lineRule="exact"/>
              <w:ind w:right="104"/>
              <w:rPr>
                <w:rFonts w:ascii="宋体" w:hAnsi="宋体"/>
                <w:sz w:val="18"/>
                <w:szCs w:val="18"/>
              </w:rPr>
            </w:pPr>
            <w:r>
              <w:rPr>
                <w:rFonts w:hint="eastAsia" w:ascii="宋体" w:hAnsi="宋体"/>
                <w:sz w:val="18"/>
                <w:szCs w:val="18"/>
              </w:rPr>
              <w:t>按照《绿色生活创建行动总体方案》《绿色学校创建行动方案》开展绿色学校创建工作的要求，本市已开展高校绿色学校创建工作。</w:t>
            </w:r>
          </w:p>
          <w:p>
            <w:pPr>
              <w:spacing w:line="240" w:lineRule="exact"/>
              <w:ind w:right="104"/>
              <w:rPr>
                <w:rFonts w:ascii="宋体" w:hAnsi="宋体"/>
                <w:sz w:val="18"/>
                <w:szCs w:val="18"/>
              </w:rPr>
            </w:pPr>
            <w:r>
              <w:rPr>
                <w:rFonts w:hint="eastAsia" w:ascii="宋体" w:hAnsi="宋体"/>
                <w:sz w:val="18"/>
                <w:szCs w:val="18"/>
              </w:rPr>
              <w:t>绿色学校评价标准依据“精神文化”“物质条件”“行为管理”和“特色创新”4项一级通用性指标展开。设置53项具体评价条款，评价总分110分。总分达到80分以上（含80分），授予“上海市绿色学校”称号。</w:t>
            </w:r>
          </w:p>
        </w:tc>
        <w:tc>
          <w:tcPr>
            <w:tcW w:w="740" w:type="dxa"/>
            <w:tcBorders>
              <w:top w:val="single" w:color="000000" w:sz="4" w:space="0"/>
              <w:left w:val="nil"/>
              <w:bottom w:val="single" w:color="000000" w:sz="4" w:space="0"/>
              <w:right w:val="single" w:color="000000"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 xml:space="preserve">15-25分 </w:t>
            </w:r>
          </w:p>
        </w:tc>
        <w:tc>
          <w:tcPr>
            <w:tcW w:w="2816" w:type="dxa"/>
            <w:tcBorders>
              <w:top w:val="single" w:color="000000" w:sz="4" w:space="0"/>
              <w:left w:val="nil"/>
              <w:bottom w:val="single" w:color="000000" w:sz="4" w:space="0"/>
              <w:right w:val="single" w:color="000000" w:sz="4" w:space="0"/>
            </w:tcBorders>
            <w:noWrap w:val="0"/>
            <w:vAlign w:val="center"/>
          </w:tcPr>
          <w:p>
            <w:pPr>
              <w:spacing w:line="240" w:lineRule="exact"/>
              <w:ind w:right="104"/>
              <w:rPr>
                <w:rFonts w:ascii="宋体" w:hAnsi="宋体"/>
                <w:sz w:val="18"/>
                <w:szCs w:val="18"/>
              </w:rPr>
            </w:pPr>
            <w:r>
              <w:rPr>
                <w:rFonts w:hint="eastAsia" w:ascii="宋体" w:hAnsi="宋体"/>
                <w:sz w:val="18"/>
                <w:szCs w:val="18"/>
              </w:rPr>
              <w:t>依据绿色学校评价总分进行评定：</w:t>
            </w:r>
          </w:p>
          <w:p>
            <w:pPr>
              <w:spacing w:line="240" w:lineRule="exact"/>
              <w:ind w:right="104"/>
              <w:rPr>
                <w:rFonts w:hint="eastAsia" w:ascii="宋体" w:hAnsi="宋体"/>
                <w:sz w:val="18"/>
                <w:szCs w:val="18"/>
              </w:rPr>
            </w:pPr>
            <w:r>
              <w:rPr>
                <w:rFonts w:hint="eastAsia" w:ascii="宋体" w:hAnsi="宋体"/>
                <w:sz w:val="18"/>
                <w:szCs w:val="18"/>
              </w:rPr>
              <w:t>1）110分≥绿色学校评价总分＞106分，得25分。</w:t>
            </w:r>
          </w:p>
          <w:p>
            <w:pPr>
              <w:spacing w:line="240" w:lineRule="exact"/>
              <w:ind w:right="104"/>
              <w:rPr>
                <w:rFonts w:hint="eastAsia" w:ascii="宋体" w:hAnsi="宋体"/>
                <w:sz w:val="18"/>
                <w:szCs w:val="18"/>
              </w:rPr>
            </w:pPr>
            <w:r>
              <w:rPr>
                <w:rFonts w:hint="eastAsia" w:ascii="宋体" w:hAnsi="宋体"/>
                <w:sz w:val="18"/>
                <w:szCs w:val="18"/>
              </w:rPr>
              <w:t>2）106分≥绿色学校评价总分＞102分，得20分。</w:t>
            </w:r>
          </w:p>
          <w:p>
            <w:pPr>
              <w:spacing w:line="240" w:lineRule="exact"/>
              <w:ind w:right="104"/>
              <w:rPr>
                <w:rFonts w:ascii="宋体" w:hAnsi="宋体"/>
                <w:sz w:val="18"/>
                <w:szCs w:val="18"/>
                <w:highlight w:val="yellow"/>
              </w:rPr>
            </w:pPr>
            <w:r>
              <w:rPr>
                <w:rFonts w:hint="eastAsia" w:ascii="宋体" w:hAnsi="宋体"/>
                <w:sz w:val="18"/>
                <w:szCs w:val="18"/>
              </w:rPr>
              <w:t>3）102分≥绿色学校评价总分≥ 97分，得15分。</w:t>
            </w:r>
          </w:p>
        </w:tc>
        <w:tc>
          <w:tcPr>
            <w:tcW w:w="156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优：25分</w:t>
            </w:r>
            <w:r>
              <w:rPr>
                <w:rFonts w:hint="eastAsia" w:ascii="宋体" w:hAnsi="宋体"/>
                <w:sz w:val="18"/>
                <w:szCs w:val="18"/>
              </w:rPr>
              <w:br w:type="textWrapping"/>
            </w:r>
            <w:r>
              <w:rPr>
                <w:rFonts w:hint="eastAsia" w:ascii="宋体" w:hAnsi="宋体"/>
                <w:sz w:val="18"/>
                <w:szCs w:val="18"/>
              </w:rPr>
              <w:t>良：20分</w:t>
            </w:r>
          </w:p>
          <w:p>
            <w:pPr>
              <w:spacing w:line="240" w:lineRule="exact"/>
              <w:jc w:val="center"/>
              <w:rPr>
                <w:rFonts w:ascii="宋体" w:hAnsi="宋体"/>
                <w:sz w:val="18"/>
                <w:szCs w:val="18"/>
              </w:rPr>
            </w:pPr>
            <w:r>
              <w:rPr>
                <w:rFonts w:hint="eastAsia" w:ascii="宋体" w:hAnsi="宋体"/>
                <w:sz w:val="18"/>
                <w:szCs w:val="18"/>
              </w:rPr>
              <w:t>一般：15分</w:t>
            </w:r>
          </w:p>
        </w:tc>
      </w:tr>
      <w:tr>
        <w:tblPrEx>
          <w:tblCellMar>
            <w:top w:w="0" w:type="dxa"/>
            <w:left w:w="106" w:type="dxa"/>
            <w:bottom w:w="0" w:type="dxa"/>
            <w:right w:w="2" w:type="dxa"/>
          </w:tblCellMar>
        </w:tblPrEx>
        <w:trPr>
          <w:trHeight w:val="1318" w:hRule="atLeast"/>
        </w:trPr>
        <w:tc>
          <w:tcPr>
            <w:tcW w:w="425"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2</w:t>
            </w:r>
          </w:p>
        </w:tc>
        <w:tc>
          <w:tcPr>
            <w:tcW w:w="865" w:type="dxa"/>
            <w:tcBorders>
              <w:top w:val="single" w:color="000000" w:sz="4" w:space="0"/>
              <w:left w:val="nil"/>
              <w:bottom w:val="single" w:color="auto" w:sz="4" w:space="0"/>
              <w:right w:val="single" w:color="000000"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合理用能指南对标情况</w:t>
            </w:r>
          </w:p>
          <w:p>
            <w:pPr>
              <w:spacing w:line="240" w:lineRule="exact"/>
              <w:jc w:val="center"/>
              <w:rPr>
                <w:rFonts w:ascii="宋体" w:hAnsi="宋体"/>
                <w:sz w:val="18"/>
                <w:szCs w:val="18"/>
              </w:rPr>
            </w:pPr>
            <w:r>
              <w:rPr>
                <w:rFonts w:hint="eastAsia" w:ascii="宋体" w:hAnsi="宋体"/>
                <w:sz w:val="18"/>
                <w:szCs w:val="18"/>
              </w:rPr>
              <w:t>（25分）</w:t>
            </w:r>
          </w:p>
        </w:tc>
        <w:tc>
          <w:tcPr>
            <w:tcW w:w="2629" w:type="dxa"/>
            <w:tcBorders>
              <w:top w:val="single" w:color="000000" w:sz="4" w:space="0"/>
              <w:left w:val="nil"/>
              <w:bottom w:val="single" w:color="auto" w:sz="4" w:space="0"/>
              <w:right w:val="single" w:color="000000" w:sz="4" w:space="0"/>
            </w:tcBorders>
            <w:noWrap w:val="0"/>
            <w:vAlign w:val="center"/>
          </w:tcPr>
          <w:p>
            <w:pPr>
              <w:spacing w:line="240" w:lineRule="exact"/>
              <w:ind w:right="104"/>
              <w:rPr>
                <w:rFonts w:ascii="宋体" w:hAnsi="宋体"/>
                <w:sz w:val="18"/>
                <w:szCs w:val="18"/>
              </w:rPr>
            </w:pPr>
            <w:r>
              <w:rPr>
                <w:rFonts w:hint="eastAsia" w:ascii="宋体" w:hAnsi="宋体"/>
                <w:sz w:val="18"/>
                <w:szCs w:val="18"/>
              </w:rPr>
              <w:t>《高等学校建筑合理用能指南》应用于本市高校开展能源审计、公共机构用能评估考核、各类创建活动等。</w:t>
            </w:r>
          </w:p>
          <w:p>
            <w:pPr>
              <w:spacing w:line="240" w:lineRule="exact"/>
              <w:ind w:right="104"/>
              <w:rPr>
                <w:rFonts w:ascii="宋体" w:hAnsi="宋体"/>
                <w:sz w:val="18"/>
                <w:szCs w:val="18"/>
              </w:rPr>
            </w:pPr>
            <w:r>
              <w:rPr>
                <w:rFonts w:hint="eastAsia" w:ascii="宋体" w:hAnsi="宋体"/>
                <w:sz w:val="18"/>
                <w:szCs w:val="18"/>
              </w:rPr>
              <w:t>到2025年，教育系统单位建筑面积能耗、人均能耗和人均水耗有所下降，《高等学校建筑合理用能指南》可作为相关能耗对标评价的指引。</w:t>
            </w:r>
          </w:p>
        </w:tc>
        <w:tc>
          <w:tcPr>
            <w:tcW w:w="740" w:type="dxa"/>
            <w:tcBorders>
              <w:top w:val="single" w:color="000000" w:sz="4" w:space="0"/>
              <w:left w:val="nil"/>
              <w:bottom w:val="single" w:color="auto" w:sz="4" w:space="0"/>
              <w:right w:val="single" w:color="000000"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15-25分</w:t>
            </w:r>
          </w:p>
        </w:tc>
        <w:tc>
          <w:tcPr>
            <w:tcW w:w="2816" w:type="dxa"/>
            <w:tcBorders>
              <w:top w:val="single" w:color="000000" w:sz="4" w:space="0"/>
              <w:left w:val="nil"/>
              <w:bottom w:val="single" w:color="000000" w:sz="4" w:space="0"/>
              <w:right w:val="single" w:color="000000" w:sz="4" w:space="0"/>
            </w:tcBorders>
            <w:noWrap w:val="0"/>
            <w:vAlign w:val="center"/>
          </w:tcPr>
          <w:p>
            <w:pPr>
              <w:spacing w:line="240" w:lineRule="exact"/>
              <w:ind w:right="104"/>
              <w:rPr>
                <w:rFonts w:ascii="宋体" w:hAnsi="宋体"/>
                <w:sz w:val="18"/>
                <w:szCs w:val="18"/>
              </w:rPr>
            </w:pPr>
            <w:r>
              <w:rPr>
                <w:rFonts w:hint="eastAsia" w:ascii="宋体" w:hAnsi="宋体"/>
                <w:sz w:val="18"/>
                <w:szCs w:val="18"/>
              </w:rPr>
              <w:t>依据《高等学校建筑合理用能指南》的指标要求进行评定：</w:t>
            </w:r>
          </w:p>
          <w:p>
            <w:pPr>
              <w:spacing w:line="240" w:lineRule="exact"/>
              <w:ind w:right="104"/>
              <w:rPr>
                <w:rFonts w:hint="eastAsia" w:ascii="宋体" w:hAnsi="宋体"/>
                <w:sz w:val="18"/>
                <w:szCs w:val="18"/>
              </w:rPr>
            </w:pPr>
            <w:r>
              <w:rPr>
                <w:rFonts w:hint="eastAsia" w:ascii="宋体" w:hAnsi="宋体"/>
                <w:sz w:val="18"/>
                <w:szCs w:val="18"/>
              </w:rPr>
              <w:t>1）单位建筑面积年综合能耗指标≤引导值，得25分。</w:t>
            </w:r>
          </w:p>
          <w:p>
            <w:pPr>
              <w:spacing w:line="240" w:lineRule="exact"/>
              <w:ind w:right="104"/>
              <w:rPr>
                <w:rFonts w:hint="eastAsia" w:ascii="宋体" w:hAnsi="宋体"/>
                <w:sz w:val="18"/>
                <w:szCs w:val="18"/>
              </w:rPr>
            </w:pPr>
            <w:r>
              <w:rPr>
                <w:rFonts w:hint="eastAsia" w:ascii="宋体" w:hAnsi="宋体"/>
                <w:sz w:val="18"/>
                <w:szCs w:val="18"/>
              </w:rPr>
              <w:t>2）引导值＜单位建筑面积年综合能耗指标≤基准值，得20分。</w:t>
            </w:r>
          </w:p>
          <w:p>
            <w:pPr>
              <w:spacing w:line="240" w:lineRule="exact"/>
              <w:ind w:right="104"/>
              <w:rPr>
                <w:rFonts w:ascii="宋体" w:hAnsi="宋体"/>
                <w:sz w:val="18"/>
                <w:szCs w:val="18"/>
              </w:rPr>
            </w:pPr>
            <w:r>
              <w:rPr>
                <w:rFonts w:hint="eastAsia" w:ascii="宋体" w:hAnsi="宋体"/>
                <w:sz w:val="18"/>
                <w:szCs w:val="18"/>
              </w:rPr>
              <w:t>3）基准值＜单位建筑面积年综合能耗指标≤约束值，得15分。</w:t>
            </w:r>
          </w:p>
        </w:tc>
        <w:tc>
          <w:tcPr>
            <w:tcW w:w="156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优：25分</w:t>
            </w:r>
            <w:r>
              <w:rPr>
                <w:rFonts w:hint="eastAsia" w:ascii="宋体" w:hAnsi="宋体"/>
                <w:sz w:val="18"/>
                <w:szCs w:val="18"/>
              </w:rPr>
              <w:br w:type="textWrapping"/>
            </w:r>
            <w:r>
              <w:rPr>
                <w:rFonts w:hint="eastAsia" w:ascii="宋体" w:hAnsi="宋体"/>
                <w:sz w:val="18"/>
                <w:szCs w:val="18"/>
              </w:rPr>
              <w:t>良：20分</w:t>
            </w:r>
          </w:p>
          <w:p>
            <w:pPr>
              <w:spacing w:line="240" w:lineRule="exact"/>
              <w:jc w:val="center"/>
              <w:rPr>
                <w:rFonts w:ascii="宋体" w:hAnsi="宋体"/>
                <w:sz w:val="18"/>
                <w:szCs w:val="18"/>
              </w:rPr>
            </w:pPr>
            <w:r>
              <w:rPr>
                <w:rFonts w:hint="eastAsia" w:ascii="宋体" w:hAnsi="宋体"/>
                <w:sz w:val="18"/>
                <w:szCs w:val="18"/>
              </w:rPr>
              <w:t>一般：15分</w:t>
            </w:r>
          </w:p>
        </w:tc>
      </w:tr>
      <w:tr>
        <w:tblPrEx>
          <w:tblCellMar>
            <w:top w:w="0" w:type="dxa"/>
            <w:left w:w="106" w:type="dxa"/>
            <w:bottom w:w="0" w:type="dxa"/>
            <w:right w:w="2" w:type="dxa"/>
          </w:tblCellMar>
        </w:tblPrEx>
        <w:trPr>
          <w:trHeight w:val="1318" w:hRule="atLeast"/>
        </w:trPr>
        <w:tc>
          <w:tcPr>
            <w:tcW w:w="425" w:type="dxa"/>
            <w:vMerge w:val="restart"/>
            <w:tcBorders>
              <w:top w:val="nil"/>
              <w:left w:val="single" w:color="auto" w:sz="4" w:space="0"/>
              <w:bottom w:val="single" w:color="auto" w:sz="4" w:space="0"/>
              <w:right w:val="single" w:color="auto"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3</w:t>
            </w:r>
          </w:p>
        </w:tc>
        <w:tc>
          <w:tcPr>
            <w:tcW w:w="865" w:type="dxa"/>
            <w:vMerge w:val="restart"/>
            <w:tcBorders>
              <w:top w:val="nil"/>
              <w:left w:val="nil"/>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示范创建综合评价</w:t>
            </w:r>
          </w:p>
          <w:p>
            <w:pPr>
              <w:spacing w:line="240" w:lineRule="exact"/>
              <w:jc w:val="center"/>
              <w:rPr>
                <w:rFonts w:ascii="宋体" w:hAnsi="宋体"/>
                <w:sz w:val="18"/>
                <w:szCs w:val="18"/>
              </w:rPr>
            </w:pPr>
            <w:r>
              <w:rPr>
                <w:rFonts w:hint="eastAsia" w:ascii="宋体" w:hAnsi="宋体"/>
                <w:sz w:val="18"/>
                <w:szCs w:val="18"/>
              </w:rPr>
              <w:t>（50分）</w:t>
            </w:r>
          </w:p>
        </w:tc>
        <w:tc>
          <w:tcPr>
            <w:tcW w:w="2629" w:type="dxa"/>
            <w:tcBorders>
              <w:top w:val="single" w:color="auto" w:sz="4" w:space="0"/>
              <w:left w:val="nil"/>
              <w:bottom w:val="single" w:color="auto" w:sz="4" w:space="0"/>
              <w:right w:val="single" w:color="auto" w:sz="4" w:space="0"/>
            </w:tcBorders>
            <w:noWrap w:val="0"/>
            <w:vAlign w:val="center"/>
          </w:tcPr>
          <w:p>
            <w:pPr>
              <w:spacing w:line="240" w:lineRule="exact"/>
              <w:ind w:right="104"/>
              <w:rPr>
                <w:rFonts w:ascii="宋体" w:hAnsi="宋体"/>
                <w:sz w:val="18"/>
                <w:szCs w:val="18"/>
              </w:rPr>
            </w:pPr>
            <w:r>
              <w:rPr>
                <w:rFonts w:hint="eastAsia" w:ascii="宋体" w:hAnsi="宋体"/>
                <w:sz w:val="18"/>
                <w:szCs w:val="18"/>
              </w:rPr>
              <w:t>1）具有创新性、可行性和可持续性，包括创新的技术和方法。</w:t>
            </w:r>
          </w:p>
          <w:p>
            <w:pPr>
              <w:spacing w:line="240" w:lineRule="exact"/>
              <w:ind w:right="104"/>
              <w:rPr>
                <w:rFonts w:hint="eastAsia" w:ascii="宋体" w:hAnsi="宋体"/>
                <w:sz w:val="18"/>
                <w:szCs w:val="18"/>
              </w:rPr>
            </w:pPr>
            <w:r>
              <w:rPr>
                <w:rFonts w:hint="eastAsia" w:ascii="宋体" w:hAnsi="宋体"/>
                <w:sz w:val="18"/>
                <w:szCs w:val="18"/>
              </w:rPr>
              <w:t>2）取得的效果和成果，包括项目成效、能源资源利用效率提升等。</w:t>
            </w:r>
          </w:p>
          <w:p>
            <w:pPr>
              <w:spacing w:line="240" w:lineRule="exact"/>
              <w:ind w:right="104"/>
              <w:rPr>
                <w:rFonts w:ascii="宋体" w:hAnsi="宋体"/>
                <w:sz w:val="18"/>
                <w:szCs w:val="18"/>
              </w:rPr>
            </w:pPr>
            <w:r>
              <w:rPr>
                <w:rFonts w:hint="eastAsia" w:ascii="宋体" w:hAnsi="宋体"/>
                <w:sz w:val="18"/>
                <w:szCs w:val="18"/>
              </w:rPr>
              <w:t>3）具有可复制性和推广价值，包括具备一定的推广潜力，可以为其他学校或地区的生态文明建设提供借鉴和参考。</w:t>
            </w:r>
          </w:p>
        </w:tc>
        <w:tc>
          <w:tcPr>
            <w:tcW w:w="740" w:type="dxa"/>
            <w:tcBorders>
              <w:top w:val="single" w:color="auto" w:sz="4" w:space="0"/>
              <w:left w:val="nil"/>
              <w:bottom w:val="single" w:color="auto" w:sz="4" w:space="0"/>
              <w:right w:val="single" w:color="auto"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0-30分</w:t>
            </w:r>
          </w:p>
        </w:tc>
        <w:tc>
          <w:tcPr>
            <w:tcW w:w="2816" w:type="dxa"/>
            <w:tcBorders>
              <w:top w:val="single" w:color="000000" w:sz="4" w:space="0"/>
              <w:left w:val="nil"/>
              <w:bottom w:val="single" w:color="000000" w:sz="4" w:space="0"/>
              <w:right w:val="single" w:color="000000" w:sz="4" w:space="0"/>
            </w:tcBorders>
            <w:noWrap w:val="0"/>
            <w:vAlign w:val="center"/>
          </w:tcPr>
          <w:p>
            <w:pPr>
              <w:spacing w:line="240" w:lineRule="exact"/>
              <w:ind w:right="104"/>
              <w:rPr>
                <w:rFonts w:ascii="宋体" w:hAnsi="宋体"/>
                <w:sz w:val="18"/>
                <w:szCs w:val="18"/>
              </w:rPr>
            </w:pPr>
            <w:r>
              <w:rPr>
                <w:rFonts w:hint="eastAsia" w:ascii="宋体" w:hAnsi="宋体"/>
                <w:sz w:val="18"/>
                <w:szCs w:val="18"/>
              </w:rPr>
              <w:t>依据学校提交的《生态文明示范学校实施报告》进行评定：</w:t>
            </w:r>
          </w:p>
          <w:p>
            <w:pPr>
              <w:spacing w:line="240" w:lineRule="exact"/>
              <w:ind w:right="104"/>
              <w:rPr>
                <w:rFonts w:hint="eastAsia" w:ascii="宋体" w:hAnsi="宋体"/>
                <w:sz w:val="18"/>
                <w:szCs w:val="18"/>
              </w:rPr>
            </w:pPr>
            <w:r>
              <w:rPr>
                <w:rFonts w:hint="eastAsia" w:ascii="宋体" w:hAnsi="宋体"/>
                <w:sz w:val="18"/>
                <w:szCs w:val="18"/>
              </w:rPr>
              <w:t>1）围绕“推动落实相关政策标准体系”“着力提升校园建筑绿色化水平”“持续完善能源消耗监管体系”“着力提升绿色能源利用水平”“大力推广各类资源循环利用”“推动参与生态文明示范创建”“加强生态保护与环境治理”“积极践行生态文明教育行动”八项体系开展描述。</w:t>
            </w:r>
          </w:p>
          <w:p>
            <w:pPr>
              <w:spacing w:line="240" w:lineRule="exact"/>
              <w:ind w:right="104"/>
              <w:rPr>
                <w:rFonts w:ascii="宋体" w:hAnsi="宋体"/>
                <w:sz w:val="18"/>
                <w:szCs w:val="18"/>
              </w:rPr>
            </w:pPr>
            <w:r>
              <w:rPr>
                <w:rFonts w:hint="eastAsia" w:ascii="宋体" w:hAnsi="宋体"/>
                <w:sz w:val="18"/>
                <w:szCs w:val="18"/>
              </w:rPr>
              <w:t>2）报告内容应包括创建的背景、目标和任务，如节能改造项目的起源、目的、核心内容等。突出亮点，信息全面。</w:t>
            </w:r>
          </w:p>
        </w:tc>
        <w:tc>
          <w:tcPr>
            <w:tcW w:w="1560" w:type="dxa"/>
            <w:tcBorders>
              <w:top w:val="single" w:color="000000" w:sz="4" w:space="0"/>
              <w:left w:val="nil"/>
              <w:bottom w:val="single" w:color="000000" w:sz="4" w:space="0"/>
              <w:right w:val="single" w:color="000000" w:sz="4" w:space="0"/>
            </w:tcBorders>
            <w:noWrap w:val="0"/>
            <w:vAlign w:val="center"/>
          </w:tcPr>
          <w:p>
            <w:pPr>
              <w:spacing w:line="240" w:lineRule="exact"/>
              <w:jc w:val="left"/>
              <w:rPr>
                <w:rFonts w:ascii="宋体" w:hAnsi="宋体"/>
                <w:sz w:val="18"/>
                <w:szCs w:val="18"/>
              </w:rPr>
            </w:pPr>
            <w:r>
              <w:rPr>
                <w:rFonts w:hint="eastAsia" w:ascii="宋体" w:hAnsi="宋体"/>
                <w:sz w:val="18"/>
                <w:szCs w:val="18"/>
              </w:rPr>
              <w:t>优：20分≤评定分≤30分</w:t>
            </w:r>
            <w:r>
              <w:rPr>
                <w:rFonts w:hint="eastAsia" w:ascii="宋体" w:hAnsi="宋体"/>
                <w:sz w:val="18"/>
                <w:szCs w:val="18"/>
              </w:rPr>
              <w:br w:type="textWrapping"/>
            </w:r>
            <w:r>
              <w:rPr>
                <w:rFonts w:hint="eastAsia" w:ascii="宋体" w:hAnsi="宋体"/>
                <w:sz w:val="18"/>
                <w:szCs w:val="18"/>
              </w:rPr>
              <w:t>良：10分≤评定分＜20分</w:t>
            </w:r>
          </w:p>
          <w:p>
            <w:pPr>
              <w:spacing w:line="240" w:lineRule="exact"/>
              <w:jc w:val="left"/>
              <w:rPr>
                <w:rFonts w:ascii="宋体" w:hAnsi="宋体"/>
                <w:sz w:val="18"/>
                <w:szCs w:val="18"/>
              </w:rPr>
            </w:pPr>
            <w:r>
              <w:rPr>
                <w:rFonts w:hint="eastAsia" w:ascii="宋体" w:hAnsi="宋体"/>
                <w:sz w:val="18"/>
                <w:szCs w:val="18"/>
              </w:rPr>
              <w:t>一般：0分≤评定分＜10分</w:t>
            </w:r>
          </w:p>
        </w:tc>
      </w:tr>
      <w:tr>
        <w:tblPrEx>
          <w:tblCellMar>
            <w:top w:w="0" w:type="dxa"/>
            <w:left w:w="106" w:type="dxa"/>
            <w:bottom w:w="0" w:type="dxa"/>
            <w:right w:w="2" w:type="dxa"/>
          </w:tblCellMar>
        </w:tblPrEx>
        <w:trPr>
          <w:trHeight w:val="1318" w:hRule="atLeast"/>
        </w:trPr>
        <w:tc>
          <w:tcPr>
            <w:tcW w:w="4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sz w:val="18"/>
                <w:szCs w:val="18"/>
              </w:rPr>
            </w:pPr>
          </w:p>
        </w:tc>
        <w:tc>
          <w:tcPr>
            <w:tcW w:w="865"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sz w:val="18"/>
                <w:szCs w:val="18"/>
              </w:rPr>
            </w:pPr>
          </w:p>
        </w:tc>
        <w:tc>
          <w:tcPr>
            <w:tcW w:w="2629" w:type="dxa"/>
            <w:tcBorders>
              <w:top w:val="nil"/>
              <w:left w:val="nil"/>
              <w:bottom w:val="single" w:color="000000" w:sz="4" w:space="0"/>
              <w:right w:val="single" w:color="000000" w:sz="4" w:space="0"/>
            </w:tcBorders>
            <w:noWrap w:val="0"/>
            <w:vAlign w:val="center"/>
          </w:tcPr>
          <w:p>
            <w:pPr>
              <w:spacing w:line="240" w:lineRule="exact"/>
              <w:ind w:right="104"/>
              <w:rPr>
                <w:rFonts w:ascii="宋体" w:hAnsi="宋体"/>
                <w:sz w:val="18"/>
                <w:szCs w:val="18"/>
              </w:rPr>
            </w:pPr>
            <w:r>
              <w:rPr>
                <w:rFonts w:hint="eastAsia" w:ascii="宋体" w:hAnsi="宋体"/>
                <w:sz w:val="18"/>
                <w:szCs w:val="18"/>
              </w:rPr>
              <w:t>实地现场考核审查</w:t>
            </w:r>
          </w:p>
          <w:p>
            <w:pPr>
              <w:spacing w:line="240" w:lineRule="exact"/>
              <w:ind w:right="104"/>
              <w:rPr>
                <w:rFonts w:hint="eastAsia" w:ascii="宋体" w:hAnsi="宋体"/>
                <w:sz w:val="18"/>
                <w:szCs w:val="18"/>
              </w:rPr>
            </w:pPr>
            <w:r>
              <w:rPr>
                <w:rFonts w:hint="eastAsia" w:ascii="宋体" w:hAnsi="宋体"/>
                <w:sz w:val="18"/>
                <w:szCs w:val="18"/>
              </w:rPr>
              <w:t>1）根据《报告》中所涉及的相关项目、资料和数据进行现场复核审查。</w:t>
            </w:r>
          </w:p>
          <w:p>
            <w:pPr>
              <w:spacing w:line="240" w:lineRule="exact"/>
              <w:ind w:right="104"/>
              <w:rPr>
                <w:rFonts w:ascii="宋体" w:hAnsi="宋体"/>
                <w:sz w:val="18"/>
                <w:szCs w:val="18"/>
              </w:rPr>
            </w:pPr>
            <w:r>
              <w:rPr>
                <w:rFonts w:hint="eastAsia" w:ascii="宋体" w:hAnsi="宋体"/>
                <w:sz w:val="18"/>
                <w:szCs w:val="18"/>
              </w:rPr>
              <w:t>2）验证资料、数据真实性及项目实际效果。</w:t>
            </w:r>
          </w:p>
        </w:tc>
        <w:tc>
          <w:tcPr>
            <w:tcW w:w="740" w:type="dxa"/>
            <w:tcBorders>
              <w:top w:val="single" w:color="000000" w:sz="4" w:space="0"/>
              <w:left w:val="nil"/>
              <w:bottom w:val="single" w:color="000000" w:sz="4" w:space="0"/>
              <w:right w:val="single" w:color="000000" w:sz="4" w:space="0"/>
            </w:tcBorders>
            <w:noWrap w:val="0"/>
            <w:vAlign w:val="center"/>
          </w:tcPr>
          <w:p>
            <w:pPr>
              <w:spacing w:line="240" w:lineRule="exact"/>
              <w:ind w:right="104"/>
              <w:jc w:val="center"/>
              <w:rPr>
                <w:rFonts w:ascii="宋体" w:hAnsi="宋体"/>
                <w:sz w:val="18"/>
                <w:szCs w:val="18"/>
              </w:rPr>
            </w:pPr>
            <w:r>
              <w:rPr>
                <w:rFonts w:hint="eastAsia" w:ascii="宋体" w:hAnsi="宋体"/>
                <w:sz w:val="18"/>
                <w:szCs w:val="18"/>
              </w:rPr>
              <w:t>0-20分</w:t>
            </w:r>
          </w:p>
        </w:tc>
        <w:tc>
          <w:tcPr>
            <w:tcW w:w="2816" w:type="dxa"/>
            <w:tcBorders>
              <w:top w:val="single" w:color="000000" w:sz="4" w:space="0"/>
              <w:left w:val="nil"/>
              <w:bottom w:val="single" w:color="000000" w:sz="4" w:space="0"/>
              <w:right w:val="single" w:color="000000" w:sz="4" w:space="0"/>
            </w:tcBorders>
            <w:noWrap w:val="0"/>
            <w:vAlign w:val="center"/>
          </w:tcPr>
          <w:p>
            <w:pPr>
              <w:spacing w:line="240" w:lineRule="exact"/>
              <w:ind w:right="104"/>
              <w:rPr>
                <w:rFonts w:ascii="宋体" w:hAnsi="宋体"/>
                <w:sz w:val="18"/>
                <w:szCs w:val="18"/>
              </w:rPr>
            </w:pPr>
            <w:r>
              <w:rPr>
                <w:rFonts w:hint="eastAsia" w:ascii="宋体" w:hAnsi="宋体"/>
                <w:sz w:val="18"/>
                <w:szCs w:val="18"/>
              </w:rPr>
              <w:t>依据现场实地考察情况进行评定：</w:t>
            </w:r>
          </w:p>
          <w:p>
            <w:pPr>
              <w:spacing w:line="240" w:lineRule="exact"/>
              <w:ind w:right="104"/>
              <w:rPr>
                <w:rFonts w:hint="eastAsia" w:ascii="宋体" w:hAnsi="宋体"/>
                <w:sz w:val="18"/>
                <w:szCs w:val="18"/>
              </w:rPr>
            </w:pPr>
            <w:r>
              <w:rPr>
                <w:rFonts w:hint="eastAsia" w:ascii="宋体" w:hAnsi="宋体"/>
                <w:sz w:val="18"/>
                <w:szCs w:val="18"/>
              </w:rPr>
              <w:t>1）项目资料内容详实，数据准确。</w:t>
            </w:r>
          </w:p>
          <w:p>
            <w:pPr>
              <w:spacing w:line="240" w:lineRule="exact"/>
              <w:ind w:right="104"/>
              <w:rPr>
                <w:rFonts w:hint="eastAsia" w:ascii="宋体" w:hAnsi="宋体"/>
                <w:sz w:val="18"/>
                <w:szCs w:val="18"/>
              </w:rPr>
            </w:pPr>
            <w:r>
              <w:rPr>
                <w:rFonts w:hint="eastAsia" w:ascii="宋体" w:hAnsi="宋体"/>
                <w:sz w:val="18"/>
                <w:szCs w:val="18"/>
              </w:rPr>
              <w:t>2）项目运行及维护效果良好。</w:t>
            </w:r>
          </w:p>
          <w:p>
            <w:pPr>
              <w:spacing w:line="240" w:lineRule="exact"/>
              <w:ind w:right="104"/>
              <w:rPr>
                <w:rFonts w:hint="eastAsia" w:ascii="宋体" w:hAnsi="宋体"/>
                <w:sz w:val="18"/>
                <w:szCs w:val="18"/>
              </w:rPr>
            </w:pPr>
            <w:r>
              <w:rPr>
                <w:rFonts w:hint="eastAsia" w:ascii="宋体" w:hAnsi="宋体"/>
                <w:sz w:val="18"/>
                <w:szCs w:val="18"/>
              </w:rPr>
              <w:t>3）项目的先进性和创新性。</w:t>
            </w:r>
          </w:p>
          <w:p>
            <w:pPr>
              <w:spacing w:line="240" w:lineRule="exact"/>
              <w:ind w:right="104"/>
              <w:rPr>
                <w:rFonts w:ascii="宋体" w:hAnsi="宋体"/>
                <w:sz w:val="18"/>
                <w:szCs w:val="18"/>
              </w:rPr>
            </w:pPr>
            <w:r>
              <w:rPr>
                <w:rFonts w:hint="eastAsia" w:ascii="宋体" w:hAnsi="宋体"/>
                <w:sz w:val="18"/>
                <w:szCs w:val="18"/>
              </w:rPr>
              <w:t>4）项目可推广和可复制。</w:t>
            </w:r>
          </w:p>
        </w:tc>
        <w:tc>
          <w:tcPr>
            <w:tcW w:w="1560" w:type="dxa"/>
            <w:tcBorders>
              <w:top w:val="single" w:color="000000" w:sz="4" w:space="0"/>
              <w:left w:val="nil"/>
              <w:bottom w:val="single" w:color="000000" w:sz="4" w:space="0"/>
              <w:right w:val="single" w:color="000000" w:sz="4" w:space="0"/>
            </w:tcBorders>
            <w:noWrap w:val="0"/>
            <w:vAlign w:val="center"/>
          </w:tcPr>
          <w:p>
            <w:pPr>
              <w:spacing w:line="240" w:lineRule="exact"/>
              <w:jc w:val="left"/>
              <w:rPr>
                <w:rFonts w:ascii="宋体" w:hAnsi="宋体"/>
                <w:sz w:val="18"/>
                <w:szCs w:val="18"/>
              </w:rPr>
            </w:pPr>
            <w:r>
              <w:rPr>
                <w:rFonts w:hint="eastAsia" w:ascii="宋体" w:hAnsi="宋体"/>
                <w:sz w:val="18"/>
                <w:szCs w:val="18"/>
              </w:rPr>
              <w:t>优：12分≤评定分≤20</w:t>
            </w:r>
            <w:r>
              <w:rPr>
                <w:rFonts w:hint="eastAsia" w:ascii="宋体" w:hAnsi="宋体"/>
                <w:sz w:val="18"/>
                <w:szCs w:val="18"/>
              </w:rPr>
              <w:br w:type="textWrapping"/>
            </w:r>
            <w:r>
              <w:rPr>
                <w:rFonts w:hint="eastAsia" w:ascii="宋体" w:hAnsi="宋体"/>
                <w:sz w:val="18"/>
                <w:szCs w:val="18"/>
              </w:rPr>
              <w:t>良：6分≤评定分＜12分</w:t>
            </w:r>
          </w:p>
          <w:p>
            <w:pPr>
              <w:spacing w:line="240" w:lineRule="exact"/>
              <w:jc w:val="left"/>
              <w:rPr>
                <w:rFonts w:ascii="宋体" w:hAnsi="宋体"/>
                <w:sz w:val="18"/>
                <w:szCs w:val="18"/>
              </w:rPr>
            </w:pPr>
            <w:r>
              <w:rPr>
                <w:rFonts w:hint="eastAsia" w:ascii="宋体" w:hAnsi="宋体"/>
                <w:sz w:val="18"/>
                <w:szCs w:val="18"/>
              </w:rPr>
              <w:t>一般：0分≤评定分＜6分</w:t>
            </w:r>
          </w:p>
        </w:tc>
      </w:tr>
    </w:tbl>
    <w:p>
      <w:pPr>
        <w:spacing w:line="560" w:lineRule="exact"/>
        <w:jc w:val="center"/>
        <w:rPr>
          <w:rFonts w:hint="eastAsia" w:ascii="黑体" w:hAnsi="黑体" w:eastAsia="黑体"/>
          <w:bCs/>
          <w:sz w:val="30"/>
          <w:szCs w:val="30"/>
        </w:rPr>
      </w:pPr>
      <w:r>
        <w:rPr>
          <w:rFonts w:hint="eastAsia" w:ascii="黑体" w:hAnsi="黑体" w:eastAsia="黑体"/>
          <w:bCs/>
          <w:sz w:val="30"/>
          <w:szCs w:val="30"/>
        </w:rPr>
        <w:t xml:space="preserve"> </w:t>
      </w:r>
    </w:p>
    <w:p>
      <w:pPr>
        <w:spacing w:line="560" w:lineRule="exact"/>
        <w:jc w:val="center"/>
        <w:rPr>
          <w:rFonts w:hint="eastAsia" w:ascii="黑体" w:hAnsi="黑体" w:eastAsia="黑体"/>
          <w:bCs/>
          <w:sz w:val="30"/>
          <w:szCs w:val="30"/>
        </w:rPr>
      </w:pPr>
      <w:r>
        <w:rPr>
          <w:rFonts w:hint="eastAsia" w:ascii="黑体" w:hAnsi="黑体" w:eastAsia="黑体"/>
          <w:bCs/>
          <w:sz w:val="30"/>
          <w:szCs w:val="30"/>
        </w:rPr>
        <w:t>第三章 其他事项</w:t>
      </w:r>
    </w:p>
    <w:p>
      <w:pPr>
        <w:spacing w:line="560" w:lineRule="exact"/>
        <w:ind w:firstLine="600" w:firstLineChars="200"/>
        <w:rPr>
          <w:rFonts w:hint="eastAsia"/>
          <w:szCs w:val="21"/>
        </w:rPr>
      </w:pPr>
      <w:r>
        <w:rPr>
          <w:rFonts w:hint="eastAsia" w:ascii="仿宋_GB2312" w:hAnsi="仿宋" w:eastAsia="仿宋_GB2312"/>
          <w:sz w:val="30"/>
          <w:szCs w:val="30"/>
        </w:rPr>
        <w:t>申报学校需提交《上海市生态文明建设示范学校实施报告》一份，报告内容可参考《上海市教育委员会关于进一步推动高等学校绿色低碳循环发展工作的通知》相关内容。</w:t>
      </w:r>
    </w:p>
    <w:tbl>
      <w:tblPr>
        <w:tblStyle w:val="2"/>
        <w:tblpPr w:leftFromText="180" w:rightFromText="180" w:vertAnchor="text" w:horzAnchor="margin" w:tblpY="907"/>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32"/>
        <w:gridCol w:w="4406"/>
        <w:gridCol w:w="28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4068" w:type="dxa"/>
            <w:noWrap w:val="0"/>
            <w:vAlign w:val="top"/>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680" w:type="dxa"/>
            <w:noWrap w:val="0"/>
            <w:vAlign w:val="top"/>
          </w:tcPr>
          <w:p>
            <w:pPr>
              <w:spacing w:line="560" w:lineRule="exact"/>
              <w:jc w:val="right"/>
              <w:rPr>
                <w:rFonts w:ascii="黑体" w:eastAsia="黑体"/>
                <w:sz w:val="28"/>
                <w:szCs w:val="28"/>
              </w:rPr>
            </w:pPr>
            <w:r>
              <w:rPr>
                <w:rFonts w:hint="eastAsia" w:ascii="仿宋_GB2312" w:eastAsia="仿宋_GB2312"/>
                <w:sz w:val="28"/>
                <w:szCs w:val="28"/>
              </w:rPr>
              <w:t>2024年4月8日印发</w:t>
            </w:r>
          </w:p>
        </w:tc>
        <w:tc>
          <w:tcPr>
            <w:tcW w:w="289" w:type="dxa"/>
            <w:noWrap w:val="0"/>
            <w:vAlign w:val="top"/>
          </w:tcPr>
          <w:p>
            <w:pPr>
              <w:spacing w:line="560" w:lineRule="exact"/>
              <w:ind w:right="359" w:rightChars="171"/>
              <w:jc w:val="right"/>
              <w:rPr>
                <w:rFonts w:ascii="黑体" w:eastAsia="黑体"/>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14A957B9"/>
    <w:rsid w:val="14A9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customStyle="1" w:styleId="4">
    <w:name w:val="List Paragraph"/>
    <w:basedOn w:val="1"/>
    <w:autoRedefine/>
    <w:qFormat/>
    <w:uiPriority w:val="0"/>
    <w:pPr>
      <w:spacing w:before="100" w:beforeAutospacing="1" w:after="160" w:line="520" w:lineRule="exact"/>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2024-04-15T01:32:00Z</dcterms:created>
  <dc:creator>向往</dc:creator>
  <cp:lastModifiedBy>向往</cp:lastModifiedBy>
  <dcterms:modified xsi:type="dcterms:W3CDTF">2024-04-15T01:32:53Z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3489F43B0DCC48EF985077D16AF53F42_11</vt:lpwstr>
  </property>
</Properties>
</file>