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仿宋" w:eastAsia="黑体" w:cs="仿宋"/>
          <w:sz w:val="32"/>
          <w:szCs w:val="32"/>
        </w:rPr>
      </w:pPr>
      <w:r>
        <w:rPr>
          <w:rFonts w:hint="eastAsia" w:ascii="黑体" w:hAnsi="仿宋" w:eastAsia="黑体" w:cs="仿宋"/>
          <w:sz w:val="32"/>
          <w:szCs w:val="32"/>
        </w:rPr>
        <w:t>附件</w:t>
      </w:r>
    </w:p>
    <w:p>
      <w:pPr>
        <w:widowControl/>
        <w:spacing w:line="560" w:lineRule="exact"/>
        <w:jc w:val="left"/>
        <w:rPr>
          <w:rFonts w:ascii="黑体" w:hAnsi="仿宋" w:eastAsia="黑体"/>
          <w:sz w:val="32"/>
          <w:szCs w:val="32"/>
        </w:rPr>
      </w:pPr>
      <w:r>
        <w:rPr>
          <w:rFonts w:hint="eastAsia" w:ascii="黑体" w:hAnsi="仿宋" w:eastAsia="黑体"/>
          <w:sz w:val="32"/>
          <w:szCs w:val="32"/>
        </w:rPr>
        <w:t xml:space="preserve"> </w:t>
      </w:r>
    </w:p>
    <w:p>
      <w:pPr>
        <w:spacing w:line="560" w:lineRule="exact"/>
        <w:jc w:val="center"/>
        <w:rPr>
          <w:rFonts w:ascii="方正小标宋简体" w:hAnsi="仿宋" w:eastAsia="方正小标宋简体"/>
          <w:sz w:val="38"/>
          <w:szCs w:val="38"/>
        </w:rPr>
      </w:pPr>
      <w:bookmarkStart w:id="0" w:name="_GoBack"/>
      <w:r>
        <w:rPr>
          <w:rFonts w:hint="eastAsia" w:ascii="方正小标宋简体" w:hAnsi="仿宋" w:eastAsia="方正小标宋简体" w:cs="仿宋"/>
          <w:sz w:val="38"/>
          <w:szCs w:val="38"/>
        </w:rPr>
        <w:t>2024年上海市普通高等学校秋季统一考试</w:t>
      </w:r>
    </w:p>
    <w:p>
      <w:pPr>
        <w:spacing w:line="560" w:lineRule="exact"/>
        <w:jc w:val="center"/>
        <w:rPr>
          <w:rFonts w:ascii="方正小标宋简体" w:hAnsi="仿宋" w:eastAsia="方正小标宋简体"/>
          <w:sz w:val="38"/>
          <w:szCs w:val="38"/>
        </w:rPr>
      </w:pPr>
      <w:r>
        <w:rPr>
          <w:rFonts w:hint="eastAsia" w:ascii="方正小标宋简体" w:hAnsi="仿宋" w:eastAsia="方正小标宋简体" w:cs="仿宋"/>
          <w:sz w:val="38"/>
          <w:szCs w:val="38"/>
        </w:rPr>
        <w:t>招生工作办法</w:t>
      </w:r>
    </w:p>
    <w:bookmarkEnd w:id="0"/>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sz w:val="30"/>
          <w:szCs w:val="30"/>
        </w:rPr>
        <w:t xml:space="preserve"> </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2024年上海市普通高等学校考试招生工作要坚持以习近平新时代中国特色社会主义思想为指导，深入贯彻党的二十大精神，全面贯彻党的教育方针，贯彻中央经济工作会议精神，落实立德树人根本任务，坚持为党育人、为国育才，选拔和培养德智体美劳全面发展的社会主义建设者和接班人。按照稳中求进的工作总基调，围绕服务教育强国建设，进一步深化改革创新、加强规范管理、维护公平公正，确保普通高等学校考试招生工作安全平稳有序。为切实做好2024年本市普通高等学校秋季统一考试招生工作，现制定本办法。</w:t>
      </w:r>
    </w:p>
    <w:p>
      <w:pPr>
        <w:pStyle w:val="4"/>
        <w:spacing w:after="0" w:line="560" w:lineRule="exact"/>
        <w:ind w:left="0" w:leftChars="0" w:firstLine="567"/>
        <w:rPr>
          <w:rFonts w:ascii="黑体" w:hAnsi="仿宋" w:eastAsia="黑体"/>
          <w:sz w:val="30"/>
          <w:szCs w:val="30"/>
        </w:rPr>
      </w:pPr>
      <w:r>
        <w:rPr>
          <w:rFonts w:hint="eastAsia" w:ascii="黑体" w:hAnsi="仿宋" w:eastAsia="黑体" w:cs="仿宋"/>
          <w:sz w:val="30"/>
          <w:szCs w:val="30"/>
        </w:rPr>
        <w:t>一、普通高等学校招生章程制订与核定发布</w:t>
      </w:r>
    </w:p>
    <w:p>
      <w:pPr>
        <w:pStyle w:val="4"/>
        <w:spacing w:after="0" w:line="560" w:lineRule="exact"/>
        <w:ind w:left="0" w:leftChars="0" w:firstLine="567"/>
        <w:rPr>
          <w:rFonts w:ascii="楷体_GB2312" w:hAnsi="仿宋" w:eastAsia="楷体_GB2312"/>
          <w:sz w:val="30"/>
          <w:szCs w:val="30"/>
        </w:rPr>
      </w:pPr>
      <w:r>
        <w:rPr>
          <w:rFonts w:hint="eastAsia" w:ascii="楷体_GB2312" w:hAnsi="仿宋" w:eastAsia="楷体_GB2312" w:cs="仿宋"/>
          <w:sz w:val="30"/>
          <w:szCs w:val="30"/>
        </w:rPr>
        <w:t>（一）招生章程的制订</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本市各普通高等学校应依据《中华人民共和国教育法》《中华人民共和国高等教育法》《中华人民共和国民办教育促进法》和《中华人民共和国中外合作办学条例》以及教育部有关规定，结合实际，合理制订本校2024年招生章程（以下简称“招生章程”）。</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2024年，本市继续向在沪招生院校提供应届高中毕业生的普通高中学生综合素质评价信息。各普通高等学校应在招生章程中明确本校在招生工作中使用普通高中学生综合素质评价信息的相应办法。</w:t>
      </w:r>
    </w:p>
    <w:p>
      <w:pPr>
        <w:pStyle w:val="4"/>
        <w:spacing w:after="0" w:line="560" w:lineRule="exact"/>
        <w:ind w:left="0" w:leftChars="0" w:firstLine="567"/>
        <w:rPr>
          <w:rFonts w:ascii="楷体_GB2312" w:hAnsi="仿宋" w:eastAsia="楷体_GB2312" w:cs="仿宋"/>
          <w:sz w:val="30"/>
          <w:szCs w:val="30"/>
        </w:rPr>
      </w:pPr>
      <w:r>
        <w:rPr>
          <w:rFonts w:hint="eastAsia" w:ascii="楷体_GB2312" w:hAnsi="仿宋" w:eastAsia="楷体_GB2312" w:cs="仿宋"/>
          <w:sz w:val="30"/>
          <w:szCs w:val="30"/>
        </w:rPr>
        <w:t>（二）招生章程的核定与发布</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1.市属普通高等学校向市教委报送本校招生章程及核准备案正、副表（见附件1、2）。</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2.市教委于规定时间前完成市属普通高等学校招生章程的核定备案工作。</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3.市属普通高等学校应按照教育部《关于启用“阳光高考”招生信息发布及管理平台的通知》要求，及时将经市教委核定备案的招生章程上传至中国高等教育学生信息网（http://gaokao.chsi.com.cn）“阳光高考”招生信息发布及管理平台（即“阳光高考”平台），且不得擅自更改。</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4.市属普通高等学校法定代表人须对本校招生章程及有关宣传材料的真实性负责。学校应合法合规、真实准确地开展招生章程及有关内容的宣传。</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5.市教委将适时对市属普通高等学校招生章程的执行和招生宣传情况进行督查。</w:t>
      </w:r>
    </w:p>
    <w:p>
      <w:pPr>
        <w:pStyle w:val="4"/>
        <w:spacing w:after="0" w:line="560" w:lineRule="exact"/>
        <w:ind w:left="0" w:leftChars="0" w:firstLine="567"/>
        <w:rPr>
          <w:rFonts w:ascii="黑体" w:hAnsi="仿宋" w:eastAsia="黑体" w:cs="仿宋"/>
          <w:sz w:val="30"/>
          <w:szCs w:val="30"/>
        </w:rPr>
      </w:pPr>
      <w:r>
        <w:rPr>
          <w:rFonts w:hint="eastAsia" w:ascii="黑体" w:hAnsi="仿宋" w:eastAsia="黑体" w:cs="仿宋"/>
          <w:sz w:val="30"/>
          <w:szCs w:val="30"/>
        </w:rPr>
        <w:t>二、考生报名与考试</w:t>
      </w:r>
    </w:p>
    <w:p>
      <w:pPr>
        <w:pStyle w:val="4"/>
        <w:spacing w:after="0" w:line="560" w:lineRule="exact"/>
        <w:ind w:left="0" w:leftChars="0" w:firstLine="567"/>
        <w:rPr>
          <w:rFonts w:ascii="楷体_GB2312" w:hAnsi="仿宋" w:eastAsia="楷体_GB2312" w:cs="仿宋"/>
          <w:sz w:val="30"/>
          <w:szCs w:val="30"/>
        </w:rPr>
      </w:pPr>
      <w:r>
        <w:rPr>
          <w:rFonts w:hint="eastAsia" w:ascii="楷体_GB2312" w:hAnsi="仿宋" w:eastAsia="楷体_GB2312" w:cs="仿宋"/>
          <w:sz w:val="30"/>
          <w:szCs w:val="30"/>
        </w:rPr>
        <w:t>（一）报名</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按照普通高等学校招生全国统一考试（以下简称“全国统考”）报名工作有关安排，本市考生已根据《上海市教育委员会关于做好2024年上海市普通高校考试招生报名工作的通知》（沪教委学〔2023〕40号）规定，完成了报名工作。若遇有特殊情况，各区教育局须填妥《区教育局特殊情况考生申请表》，报市教委审批。</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根据教育部有关规定，考生在申请报名时，须签订诚信承诺书，承诺本人所提供的报名材料、信息及有关证明材料客观、真实、准确，承诺参加考试招生时遵守考试招生管理规定，服从招生考试机构和高等学校的管理。</w:t>
      </w:r>
    </w:p>
    <w:p>
      <w:pPr>
        <w:pStyle w:val="4"/>
        <w:spacing w:after="0" w:line="560" w:lineRule="exact"/>
        <w:ind w:left="0" w:leftChars="0" w:firstLine="567"/>
        <w:rPr>
          <w:rFonts w:ascii="楷体_GB2312" w:hAnsi="仿宋" w:eastAsia="楷体_GB2312" w:cs="仿宋"/>
          <w:sz w:val="30"/>
          <w:szCs w:val="30"/>
        </w:rPr>
      </w:pPr>
      <w:r>
        <w:rPr>
          <w:rFonts w:hint="eastAsia" w:ascii="楷体_GB2312" w:hAnsi="仿宋" w:eastAsia="楷体_GB2312" w:cs="仿宋"/>
          <w:sz w:val="30"/>
          <w:szCs w:val="30"/>
        </w:rPr>
        <w:t>（二）考试类别与科目</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1.本科</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2024年报考本科院校的高考成绩，由语文、数学、外语（含听力和听说测试，下同）3门统一高考成绩和考生自主选择的3门普通高中学业水平等级性考试科目成绩构成，总分为660分。其中，语文、数学、外语科目每门满分均为150分，不分文理，考试时间安排在6月；外语提供两次考试机会（其中一次考试已安排在1月进行），选择其中较好的一次成绩计入高考总分。考生自主选择的3门科目，每门满分均为70分。</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2.高职（专科）</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2024年仅报考高职（专科）的考生，只需参加语文、数学、外语3门统一考试。语文、数学、外语科目每门满分均为150分,不分文理，总分为450分。外语提供两次考试机会（其中一次考试已安排在1月进行），选择其中较好的一次成绩计入高考总分。</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3.考试时间安排</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2024年6月7-9日举行全国统考，各科目考试时间为：</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语文</w:t>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6月7日9:00-11:30</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数学</w:t>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6月7日15:00-17:00</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外语笔试（含听力）</w:t>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6月8日15:00-17:00</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外语听说测试</w:t>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ab/>
      </w:r>
      <w:r>
        <w:rPr>
          <w:rFonts w:hint="eastAsia" w:ascii="仿宋_GB2312" w:hAnsi="仿宋" w:eastAsia="仿宋_GB2312" w:cs="仿宋"/>
          <w:sz w:val="30"/>
          <w:szCs w:val="30"/>
        </w:rPr>
        <w:t>6月9日8:00起</w:t>
      </w:r>
    </w:p>
    <w:p>
      <w:pPr>
        <w:pStyle w:val="4"/>
        <w:spacing w:after="0" w:line="560" w:lineRule="exact"/>
        <w:ind w:left="0" w:leftChars="0" w:firstLine="567"/>
        <w:rPr>
          <w:rFonts w:ascii="黑体" w:hAnsi="仿宋" w:eastAsia="黑体" w:cs="仿宋"/>
          <w:sz w:val="30"/>
          <w:szCs w:val="30"/>
        </w:rPr>
      </w:pPr>
      <w:r>
        <w:rPr>
          <w:rFonts w:hint="eastAsia" w:ascii="黑体" w:hAnsi="仿宋" w:eastAsia="黑体" w:cs="仿宋"/>
          <w:sz w:val="30"/>
          <w:szCs w:val="30"/>
        </w:rPr>
        <w:t>三、志愿填报与投档录取</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本市2024年志愿填报与投档录取办法详见市教育考试院公布的《上海市2024年普通高等学校招生志愿填报与投档录取实施办法》。鼓励上海考生报考外省市高校。</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各普通高等学校根据经核定备案并向社会公布的招生章程，对投档名单内的考生进行全面考核、综合评价、择优录取。</w:t>
      </w:r>
    </w:p>
    <w:p>
      <w:pPr>
        <w:pStyle w:val="4"/>
        <w:spacing w:after="0" w:line="560" w:lineRule="exact"/>
        <w:ind w:left="0" w:leftChars="0" w:firstLine="567"/>
        <w:rPr>
          <w:rFonts w:ascii="黑体" w:hAnsi="仿宋" w:eastAsia="黑体" w:cs="仿宋"/>
          <w:sz w:val="30"/>
          <w:szCs w:val="30"/>
        </w:rPr>
      </w:pPr>
      <w:r>
        <w:rPr>
          <w:rFonts w:hint="eastAsia" w:ascii="黑体" w:hAnsi="仿宋" w:eastAsia="黑体" w:cs="仿宋"/>
          <w:sz w:val="30"/>
          <w:szCs w:val="30"/>
        </w:rPr>
        <w:t>四、残疾人招录政策</w:t>
      </w:r>
    </w:p>
    <w:p>
      <w:pPr>
        <w:pStyle w:val="4"/>
        <w:spacing w:after="0" w:line="560" w:lineRule="exact"/>
        <w:ind w:left="0" w:leftChars="0" w:firstLine="567"/>
        <w:rPr>
          <w:rFonts w:ascii="仿宋_GB2312" w:hAnsi="仿宋" w:eastAsia="仿宋_GB2312" w:cs="仿宋"/>
          <w:spacing w:val="-4"/>
          <w:sz w:val="30"/>
          <w:szCs w:val="30"/>
        </w:rPr>
      </w:pPr>
      <w:r>
        <w:rPr>
          <w:rFonts w:hint="eastAsia" w:ascii="仿宋_GB2312" w:hAnsi="仿宋" w:eastAsia="仿宋_GB2312" w:cs="仿宋"/>
          <w:sz w:val="30"/>
          <w:szCs w:val="30"/>
        </w:rPr>
        <w:t>根据《残疾人教育条例》《普通高等学校招生体检工作指导意见》《残</w:t>
      </w:r>
      <w:r>
        <w:rPr>
          <w:rFonts w:hint="eastAsia" w:ascii="仿宋_GB2312" w:hAnsi="仿宋" w:eastAsia="仿宋_GB2312" w:cs="仿宋"/>
          <w:spacing w:val="-4"/>
          <w:sz w:val="30"/>
          <w:szCs w:val="30"/>
        </w:rPr>
        <w:t>疾人参加普通高等学校招生全国统一考试管理规定》等精神，对高考成绩达到要求，身体条件能够完成所报专业学习、生活能够自理的残疾考生，各普通高等学校不能因其残疾而不予录取。</w:t>
      </w:r>
    </w:p>
    <w:p>
      <w:pPr>
        <w:pStyle w:val="4"/>
        <w:spacing w:after="0" w:line="560" w:lineRule="exact"/>
        <w:ind w:left="0" w:leftChars="0" w:firstLine="567"/>
        <w:rPr>
          <w:rFonts w:ascii="黑体" w:hAnsi="仿宋" w:eastAsia="黑体" w:cs="仿宋"/>
          <w:sz w:val="30"/>
          <w:szCs w:val="30"/>
        </w:rPr>
      </w:pPr>
      <w:r>
        <w:rPr>
          <w:rFonts w:hint="eastAsia" w:ascii="黑体" w:hAnsi="仿宋" w:eastAsia="黑体" w:cs="仿宋"/>
          <w:sz w:val="30"/>
          <w:szCs w:val="30"/>
        </w:rPr>
        <w:t>五、加分政策</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根据教育部、国家民委、公安部、国家体育总局和中国科学技术协会五部委联合发布的《关于进一步减少和规范高考加分项目和分值的意见》（教学〔2014〕18号），2024年本市普通高等学校招生录取加分政策严格按照附件3所列项目及要求执行，所有高考加分项目及分值均不得用于高校不安排分省招生计划的艺术类专业、高水平运动队、高校专项计划等招生项目。市教育考试院、各区教育局和高中阶段学校等相关单位必须要高度重视高考加分工作，各尽其责、密切配合，落实“阳光公示”，严格规范上报、公示时间，加强对申请高考加分考生身份的联合审查，防范和打击身份造假。所有拟享受高考加分的考生，均须经过本人申报，有关部门审核，市、区、校三级公示后方可予以确认。</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教育部门要加强与民族、公安等部门的协作，严格执行民族成份及户籍等变更工作要求，认真把关，从制度、程序、操作等各方面防范和杜绝违规行为的发生。</w:t>
      </w:r>
    </w:p>
    <w:p>
      <w:pPr>
        <w:pStyle w:val="4"/>
        <w:spacing w:after="0" w:line="560" w:lineRule="exact"/>
        <w:ind w:left="0" w:leftChars="0" w:firstLine="567"/>
        <w:rPr>
          <w:rFonts w:ascii="黑体" w:hAnsi="仿宋" w:eastAsia="黑体" w:cs="仿宋"/>
          <w:sz w:val="30"/>
          <w:szCs w:val="30"/>
        </w:rPr>
      </w:pPr>
      <w:r>
        <w:rPr>
          <w:rFonts w:hint="eastAsia" w:ascii="黑体" w:hAnsi="仿宋" w:eastAsia="黑体" w:cs="仿宋"/>
          <w:sz w:val="30"/>
          <w:szCs w:val="30"/>
        </w:rPr>
        <w:t>六、保障措施</w:t>
      </w:r>
    </w:p>
    <w:p>
      <w:pPr>
        <w:pStyle w:val="4"/>
        <w:spacing w:after="0" w:line="560" w:lineRule="exact"/>
        <w:ind w:left="0" w:leftChars="0" w:firstLine="567"/>
        <w:rPr>
          <w:rFonts w:ascii="楷体_GB2312" w:hAnsi="仿宋" w:eastAsia="楷体_GB2312" w:cs="仿宋"/>
          <w:sz w:val="30"/>
          <w:szCs w:val="30"/>
        </w:rPr>
      </w:pPr>
      <w:r>
        <w:rPr>
          <w:rFonts w:hint="eastAsia" w:ascii="楷体_GB2312" w:hAnsi="仿宋" w:eastAsia="楷体_GB2312" w:cs="仿宋"/>
          <w:sz w:val="30"/>
          <w:szCs w:val="30"/>
        </w:rPr>
        <w:t>（一）加强考试招生宣传与服务</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各普通高等学校、各区教育局要深入实施“高考护航行动”，加强正面宣传，充分利用主流媒体和新媒体等媒介主动发声，做好政策解读、志愿填报、信息查询、温馨提示等服务工作，为考生提供考试招生全流程服务。加强考生诚信教育，重点宣传涉考法律法规，教育和引导考生自觉抵制违纪、舞弊等行为，为残疾人等特殊群体考生提供合理便利，营造温馨和谐的考试环境。坚持正确育人导向，进一步完善和规范高考成绩、高校录取分数线等发布工作，推动全社会树立科学的人才观、成才观、教育观。</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各普通高等学校、各区教育局和考试机构要进一步分层分类开展培训，做到“培训全覆盖、内容无盲区、对象无死角”，为考生提供形式多样的志愿填报指导服务，指导考生合理填报高考志愿，指导考生妥善保管个人信息。严禁与校外培训等社会机构合作，通过为考生提供志愿填报咨询服务收取费用、谋取利益，提醒考生谨防“高价志愿填报指导”等诈骗陷阱。录取期间，市教育考试院和各普通高等学校应向社会公开违规举报电话和咨询电话，安排专人接访，及时妥善处置信访问题，切实维护考生合法权益。</w:t>
      </w:r>
    </w:p>
    <w:p>
      <w:pPr>
        <w:pStyle w:val="4"/>
        <w:spacing w:after="0" w:line="560" w:lineRule="exact"/>
        <w:ind w:left="0" w:leftChars="0" w:firstLine="567"/>
        <w:rPr>
          <w:rFonts w:ascii="楷体_GB2312" w:hAnsi="仿宋" w:eastAsia="楷体_GB2312" w:cs="仿宋"/>
          <w:sz w:val="30"/>
          <w:szCs w:val="30"/>
        </w:rPr>
      </w:pPr>
      <w:r>
        <w:rPr>
          <w:rFonts w:hint="eastAsia" w:ascii="楷体_GB2312" w:hAnsi="仿宋" w:eastAsia="楷体_GB2312" w:cs="仿宋"/>
          <w:sz w:val="30"/>
          <w:szCs w:val="30"/>
        </w:rPr>
        <w:t>（二）做好考务组织与安全保障</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着力强化考试组织管理。严格按照教育部高考考务工作规定要求，落实落细组考任务，把安全保密工作摆在突出重要位置，强化命题、制卷、运送、保管、分发、施考、回收、评卷等关键环节和关键人员的管理，确保试题试卷绝对安全。严格执行工作人员和考生进入考点（考场）安全检查工作规范，强化考点入口手机集中存放管理；做好考点、考场设备维护升级，落实5G信号屏蔽全覆盖；配备智能安检门，与人工检查多重结合，严防手机等高科技作弊器材进入考点，确保手机带不进、藏不了、用不了、传不出；加强考务人员工作培训，提高监考人员履职尽责能力。加大考场巡视力度，强化重点区域、场所考前考中检查，严格执行考场视频回放制度，严查违规违纪行为。加强部门协作机制，开展净化涉考网络环境、净化考点周边环境、打击销售作弊器材、打击替考作弊等专项行动，持续推进考试环境综合治理，依法严厉打击各类涉考违法犯罪活动。</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着力加强信息安全防护。规范高考成绩发布，加强高考成绩信息安全管理，优化完善高校及专业录取分数线发布办法，加强对中学、教师等相关责任主体的管理，严禁以任何方式公布宣传炒作“高考状元”“高考喜报”“高考升学率”“高分考生”等。市教育考试院应完善并强化填报志愿和投档录取的系统测试和模拟演练。重点加强对重要设备、信息系统和网站的监测和运行维护，及时堵塞安全技术漏洞。对考生的报名信息、成绩信息、志愿填报数据、投档录取信息等进行严格保密，确保学生个人及招考信息安全，严防泄露或被他人操控，并做好数据备份。</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着力完善考试安全保障。提升风险防范化解能力水平，加强各环节风险梳理和排查，完善健全各类突发事件应急处置机制和预案。强化部门协同配合，加强治安、交通、卫生防疫、噪音治理、心理辅导等多方面综合服务保障。</w:t>
      </w:r>
    </w:p>
    <w:p>
      <w:pPr>
        <w:pStyle w:val="4"/>
        <w:spacing w:after="0" w:line="560" w:lineRule="exact"/>
        <w:ind w:left="0" w:leftChars="0" w:firstLine="567"/>
        <w:rPr>
          <w:rFonts w:ascii="楷体_GB2312" w:hAnsi="仿宋" w:eastAsia="楷体_GB2312" w:cs="仿宋"/>
          <w:sz w:val="30"/>
          <w:szCs w:val="30"/>
        </w:rPr>
      </w:pPr>
      <w:r>
        <w:rPr>
          <w:rFonts w:hint="eastAsia" w:ascii="楷体_GB2312" w:hAnsi="仿宋" w:eastAsia="楷体_GB2312" w:cs="仿宋"/>
          <w:sz w:val="30"/>
          <w:szCs w:val="30"/>
        </w:rPr>
        <w:t>（三）确保招生公平公正</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深入实施高校招生“阳光工程”，严肃招生工作纪律，严格遵守高校招生“30个不得”“八项基本要求”等工作纪律。各高校要严肃招生宣传和咨询工作纪律，招生宣传的表述应当严谨、规范，不得采取不恰当的方式开展招生宣传，不得以新生高额奖学金、违规承诺录取（含承诺录取专业、本硕博连读或贯通等）、入校后重新选择专业等方式争抢生源。不得以优质生源登记表、志愿填报意向书等形式吸引、误导学生。高校制作录取通知书应坚持简约、节约的原则，避免铺张浪费。加强对招生队伍的教育和培训，确保工作人员准确掌握和解读招考政策。认真落实教育部和国家邮政局有关录取通知书寄递工作要求，确保录取通知书寄递安全、及时、准确，并严格组织新生入学资格复查。严格执行国家、地方、高校和高中阶段学校等多级信息公开制度，认真落实招生信息“十公开”，按照保护学生个人隐私等法律法规要求，细化公开内容，规范公开程序，自觉接受纪检监察部门和社会各界的监督。</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加强考试招生培训机构治理。市教育考试院和各区招考机构及其工作人员和高校、高中阶段学校及其教师不得组织或参与任何形式的考试招生培训活动。各校不得允许教育咨询机构、校外培训机构或个人进入学校开展涉考培训咨询活动，或提供场地给有关机构或个人开展相关活动；不得向考生和家长宣传推介有关机构或个人的相关活动。各区教育局要会同网信、科技、公安、文化和旅游、市场监管、体育等部门，加强对社会培训机构或个人开展涉考培训咨询的规范治理，严厉打击涉及虚假宣传、价格欺诈、组织或参与考试作弊、干扰破坏考试招生秩序等违规违法行为。</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市教育考试院、各区教育局及招考机构、有关高校、高中阶段学校应按照有关要求，分别公开招生政策、高校招生章程、高校招生计划、考生资格、录取程序、录取标准、咨询及申诉渠道、重大违规事件及处理结果、录取新生复查情况等相关信息。市教育考试院和高校公示的信息保留至当年年底。各区招考机构和高中阶段学校公示的考生有关信息，上报前至少公示10个工作日，并保留至当年8月底。</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在公示有关信息的同时，要提供举报电子信箱、电话号码、受理举报的单位和通讯地址，并按照国家有关信访规定对举报事项及时调查处理。</w:t>
      </w:r>
    </w:p>
    <w:p>
      <w:pPr>
        <w:pStyle w:val="4"/>
        <w:spacing w:after="0" w:line="560" w:lineRule="exact"/>
        <w:ind w:left="0" w:leftChars="0" w:firstLine="567"/>
        <w:rPr>
          <w:rFonts w:ascii="楷体_GB2312" w:hAnsi="仿宋" w:eastAsia="楷体_GB2312" w:cs="仿宋"/>
          <w:sz w:val="30"/>
          <w:szCs w:val="30"/>
        </w:rPr>
      </w:pPr>
      <w:r>
        <w:rPr>
          <w:rFonts w:hint="eastAsia" w:ascii="楷体_GB2312" w:hAnsi="仿宋" w:eastAsia="楷体_GB2312" w:cs="仿宋"/>
          <w:sz w:val="30"/>
          <w:szCs w:val="30"/>
        </w:rPr>
        <w:t>（四）严肃查处违规违纪行为</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对在高校招生报名、考试、录取等各环节出现违规行为的考生、考试工作人员、社会其他人员，严格按照《中华人民共和国教育法》《国家教育考试违规处理办法》（教育部令第33号）和《普通高等学校招生违规行为处理暂行办法》（教育部令第36号）确定的程序和规定严肃处理，依法依规追究当事人及相关人员责任；涉嫌犯罪的，应严格按照《中华人民共和国刑法》《最高人民法院、最高人民检察院关于办理组织考试作弊等刑事案件适用法律若干问题的解释》等有关法律规定，及时移送司法机关追究法律责任。对党员和公职人员违规违纪的，依据《中国共产党纪律处分条例》《中华人民共和国公职人员政务处分法》《行政机关公务员处分条例》《事业单位工作人员处分规定》等严肃处理。对因疏于管理，造成考场秩序混乱、作弊情况严重、招生违规严重的党员，依照《中国共产党问责条例》等对直接责任人和负有领导责任的人员，依法依规进行严肃追责问责。</w:t>
      </w:r>
    </w:p>
    <w:p>
      <w:pPr>
        <w:pStyle w:val="4"/>
        <w:spacing w:after="0" w:line="560" w:lineRule="exact"/>
        <w:ind w:left="0" w:leftChars="0" w:firstLine="567"/>
        <w:rPr>
          <w:rFonts w:ascii="楷体_GB2312" w:hAnsi="仿宋" w:eastAsia="楷体_GB2312" w:cs="仿宋"/>
          <w:sz w:val="30"/>
          <w:szCs w:val="30"/>
        </w:rPr>
      </w:pPr>
      <w:r>
        <w:rPr>
          <w:rFonts w:hint="eastAsia" w:ascii="楷体_GB2312" w:hAnsi="仿宋" w:eastAsia="楷体_GB2312" w:cs="仿宋"/>
          <w:sz w:val="30"/>
          <w:szCs w:val="30"/>
        </w:rPr>
        <w:t>（五）加强配套服务保障</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本办法有关条款涉及的普通高等学校招生专业目录与招生计划等内容，由市教育考试院另行公布。</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除法律和政府有关部门有新的规定或政策外，2024年上海市普通高等学校秋季统一考试招生工作按本办法执行。</w:t>
      </w:r>
    </w:p>
    <w:p>
      <w:pPr>
        <w:pStyle w:val="4"/>
        <w:spacing w:after="0" w:line="560" w:lineRule="exact"/>
        <w:ind w:left="0" w:leftChars="0" w:firstLine="567"/>
        <w:rPr>
          <w:rFonts w:ascii="仿宋_GB2312" w:hAnsi="仿宋" w:eastAsia="仿宋_GB2312" w:cs="仿宋"/>
          <w:sz w:val="30"/>
          <w:szCs w:val="30"/>
        </w:rPr>
      </w:pPr>
      <w:r>
        <w:rPr>
          <w:rFonts w:hint="eastAsia" w:ascii="仿宋_GB2312" w:hAnsi="仿宋" w:eastAsia="仿宋_GB2312" w:cs="仿宋"/>
          <w:sz w:val="30"/>
          <w:szCs w:val="30"/>
        </w:rPr>
        <w:t>本办法由市教委负责解释。</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sz w:val="30"/>
          <w:szCs w:val="30"/>
        </w:rPr>
        <w:t xml:space="preserve"> </w:t>
      </w:r>
    </w:p>
    <w:p>
      <w:pPr>
        <w:pStyle w:val="4"/>
        <w:spacing w:after="0" w:line="560" w:lineRule="exact"/>
        <w:ind w:left="0" w:leftChars="0" w:firstLine="567"/>
        <w:rPr>
          <w:rFonts w:ascii="仿宋_GB2312" w:hAnsi="仿宋" w:eastAsia="仿宋_GB2312"/>
          <w:sz w:val="30"/>
          <w:szCs w:val="30"/>
        </w:rPr>
      </w:pPr>
      <w:r>
        <w:rPr>
          <w:rFonts w:hint="eastAsia" w:ascii="仿宋_GB2312" w:hAnsi="仿宋" w:eastAsia="仿宋_GB2312" w:cs="仿宋"/>
          <w:sz w:val="30"/>
          <w:szCs w:val="30"/>
        </w:rPr>
        <w:t>附件：1.2024年上海市普通高校招生章程核准备案表（正表）</w:t>
      </w:r>
    </w:p>
    <w:p>
      <w:pPr>
        <w:pStyle w:val="4"/>
        <w:spacing w:after="0" w:line="560" w:lineRule="exact"/>
        <w:ind w:left="450" w:leftChars="0" w:hanging="450" w:hangingChars="150"/>
        <w:rPr>
          <w:rFonts w:ascii="仿宋_GB2312" w:hAnsi="仿宋" w:eastAsia="仿宋_GB2312" w:cs="仿宋"/>
          <w:sz w:val="30"/>
          <w:szCs w:val="30"/>
        </w:rPr>
      </w:pPr>
      <w:r>
        <w:rPr>
          <w:rFonts w:hint="eastAsia" w:ascii="仿宋_GB2312" w:hAnsi="仿宋" w:eastAsia="仿宋_GB2312" w:cs="仿宋"/>
          <w:sz w:val="30"/>
          <w:szCs w:val="30"/>
        </w:rPr>
        <w:t xml:space="preserve">          2.2024年上海市普通高校招生章程核准备案表（副表）</w:t>
      </w:r>
    </w:p>
    <w:p>
      <w:pPr>
        <w:pStyle w:val="4"/>
        <w:spacing w:after="0" w:line="560" w:lineRule="exact"/>
        <w:ind w:left="0" w:leftChars="0" w:firstLine="1458" w:firstLineChars="486"/>
        <w:rPr>
          <w:rFonts w:ascii="仿宋_GB2312" w:hAnsi="仿宋" w:eastAsia="仿宋_GB2312"/>
          <w:sz w:val="30"/>
          <w:szCs w:val="30"/>
        </w:rPr>
      </w:pPr>
      <w:r>
        <w:rPr>
          <w:rFonts w:hint="eastAsia" w:ascii="仿宋_GB2312" w:hAnsi="仿宋" w:eastAsia="仿宋_GB2312" w:cs="仿宋"/>
          <w:sz w:val="30"/>
          <w:szCs w:val="30"/>
        </w:rPr>
        <w:t>3.2024年上海市普通高等学校招生录取加分表</w:t>
      </w:r>
    </w:p>
    <w:p>
      <w:pPr>
        <w:spacing w:line="400" w:lineRule="exact"/>
        <w:ind w:left="-34" w:leftChars="-24" w:right="-208" w:rightChars="-99" w:hanging="16" w:hangingChars="5"/>
        <w:jc w:val="left"/>
        <w:rPr>
          <w:rFonts w:ascii="黑体" w:eastAsia="黑体"/>
          <w:sz w:val="32"/>
          <w:szCs w:val="32"/>
        </w:rPr>
      </w:pPr>
      <w:r>
        <w:rPr>
          <w:rFonts w:hint="eastAsia" w:ascii="黑体" w:eastAsia="黑体"/>
          <w:sz w:val="32"/>
          <w:szCs w:val="32"/>
        </w:rPr>
        <w:br w:type="page"/>
      </w:r>
      <w:r>
        <w:rPr>
          <w:rFonts w:hint="eastAsia" w:ascii="黑体" w:eastAsia="黑体"/>
          <w:sz w:val="32"/>
          <w:szCs w:val="32"/>
        </w:rPr>
        <w:t>附件1</w:t>
      </w:r>
    </w:p>
    <w:p>
      <w:pPr>
        <w:spacing w:line="400" w:lineRule="exact"/>
        <w:ind w:left="-4" w:leftChars="-2" w:right="-208" w:rightChars="-99" w:firstLine="567" w:firstLineChars="156"/>
        <w:jc w:val="left"/>
        <w:rPr>
          <w:rFonts w:ascii="方正小标宋简体" w:hAnsi="华文中宋" w:eastAsia="方正小标宋简体"/>
          <w:spacing w:val="-8"/>
          <w:sz w:val="38"/>
          <w:szCs w:val="38"/>
        </w:rPr>
      </w:pPr>
      <w:r>
        <w:rPr>
          <w:rFonts w:hint="eastAsia" w:ascii="方正小标宋简体" w:hAnsi="华文中宋" w:eastAsia="方正小标宋简体"/>
          <w:spacing w:val="-8"/>
          <w:sz w:val="38"/>
          <w:szCs w:val="38"/>
        </w:rPr>
        <w:t>2024年上海市普通高校招生章程核准备案表（正表）</w:t>
      </w:r>
    </w:p>
    <w:p>
      <w:pPr>
        <w:spacing w:line="400" w:lineRule="exact"/>
        <w:ind w:left="-4" w:leftChars="-2" w:right="-208" w:rightChars="-99" w:firstLine="728" w:firstLineChars="200"/>
        <w:jc w:val="left"/>
        <w:rPr>
          <w:rFonts w:ascii="方正小标宋简体" w:hAnsi="仿宋" w:eastAsia="方正小标宋简体" w:cs="仿宋"/>
          <w:spacing w:val="-8"/>
          <w:sz w:val="38"/>
          <w:szCs w:val="38"/>
        </w:rPr>
      </w:pPr>
    </w:p>
    <w:tbl>
      <w:tblPr>
        <w:tblStyle w:val="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96"/>
        <w:gridCol w:w="1701"/>
        <w:gridCol w:w="5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356" w:type="dxa"/>
            <w:gridSpan w:val="4"/>
            <w:tcBorders>
              <w:top w:val="single" w:color="auto" w:sz="12" w:space="0"/>
              <w:left w:val="single" w:color="auto" w:sz="12" w:space="0"/>
              <w:bottom w:val="single" w:color="auto" w:sz="4" w:space="0"/>
              <w:right w:val="single" w:color="auto" w:sz="12" w:space="0"/>
            </w:tcBorders>
            <w:noWrap w:val="0"/>
            <w:vAlign w:val="center"/>
          </w:tcPr>
          <w:p>
            <w:pPr>
              <w:spacing w:line="380" w:lineRule="exact"/>
              <w:ind w:firstLine="560"/>
              <w:jc w:val="center"/>
              <w:rPr>
                <w:rFonts w:ascii="楷体_GB2312" w:hAnsi="楷体" w:eastAsia="楷体_GB2312"/>
                <w:sz w:val="28"/>
                <w:szCs w:val="28"/>
              </w:rPr>
            </w:pPr>
            <w:r>
              <w:rPr>
                <w:rFonts w:hint="eastAsia" w:ascii="楷体_GB2312" w:hAnsi="楷体" w:eastAsia="楷体_GB2312"/>
                <w:sz w:val="28"/>
                <w:szCs w:val="28"/>
              </w:rPr>
              <w:t>2024年上海市普通高等学校全国统考招生章程</w:t>
            </w:r>
          </w:p>
          <w:p>
            <w:pPr>
              <w:spacing w:line="380" w:lineRule="exact"/>
              <w:jc w:val="center"/>
              <w:rPr>
                <w:rFonts w:ascii="仿宋_GB2312" w:hAnsi="仿宋" w:eastAsia="仿宋_GB2312"/>
                <w:sz w:val="28"/>
                <w:szCs w:val="28"/>
              </w:rPr>
            </w:pPr>
            <w:r>
              <w:rPr>
                <w:rFonts w:hint="eastAsia" w:ascii="楷体_GB2312" w:hAnsi="楷体" w:eastAsia="楷体_GB2312"/>
                <w:sz w:val="28"/>
                <w:szCs w:val="28"/>
              </w:rPr>
              <w:t>（秋季统一高考）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679" w:type="dxa"/>
            <w:gridSpan w:val="3"/>
            <w:tcBorders>
              <w:top w:val="single" w:color="auto" w:sz="12"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一、院校全称</w:t>
            </w:r>
          </w:p>
        </w:tc>
        <w:tc>
          <w:tcPr>
            <w:tcW w:w="5677" w:type="dxa"/>
            <w:tcBorders>
              <w:top w:val="single" w:color="auto" w:sz="12" w:space="0"/>
              <w:left w:val="nil"/>
              <w:bottom w:val="single" w:color="auto" w:sz="4" w:space="0"/>
              <w:right w:val="single" w:color="auto" w:sz="12" w:space="0"/>
            </w:tcBorders>
            <w:noWrap w:val="0"/>
            <w:vAlign w:val="top"/>
          </w:tcPr>
          <w:p>
            <w:pPr>
              <w:spacing w:line="420" w:lineRule="exact"/>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679"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二、就读校址</w:t>
            </w:r>
          </w:p>
        </w:tc>
        <w:tc>
          <w:tcPr>
            <w:tcW w:w="5677" w:type="dxa"/>
            <w:tcBorders>
              <w:top w:val="single" w:color="auto" w:sz="4" w:space="0"/>
              <w:left w:val="nil"/>
              <w:bottom w:val="single" w:color="auto" w:sz="4" w:space="0"/>
              <w:right w:val="single" w:color="auto" w:sz="12" w:space="0"/>
            </w:tcBorders>
            <w:noWrap w:val="0"/>
            <w:vAlign w:val="top"/>
          </w:tcPr>
          <w:p>
            <w:pPr>
              <w:spacing w:line="420" w:lineRule="exact"/>
              <w:rPr>
                <w:rFonts w:ascii="楷体_GB2312" w:hAnsi="楷体" w:eastAsia="楷体_GB2312"/>
                <w:sz w:val="24"/>
                <w:szCs w:val="24"/>
              </w:rPr>
            </w:pPr>
            <w:r>
              <w:rPr>
                <w:rFonts w:hint="eastAsia" w:ascii="楷体_GB2312" w:hAnsi="楷体" w:eastAsia="楷体_GB2312"/>
                <w:sz w:val="24"/>
                <w:szCs w:val="24"/>
              </w:rPr>
              <w:t>校本部与各校区地址，同时明确各年级及专业就读地址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三、层次</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仿宋_GB2312" w:hAnsi="仿宋" w:eastAsia="仿宋_GB2312"/>
                <w:sz w:val="24"/>
                <w:szCs w:val="24"/>
              </w:rPr>
            </w:pPr>
            <w:r>
              <w:rPr>
                <w:rFonts w:hint="eastAsia" w:ascii="仿宋_GB2312" w:hAnsi="仿宋" w:eastAsia="仿宋_GB2312"/>
                <w:sz w:val="24"/>
                <w:szCs w:val="24"/>
              </w:rPr>
              <w:t>□ 本科  □ 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679"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四、办学类型</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_GB2312" w:hAnsi="楷体" w:eastAsia="楷体_GB2312"/>
                <w:sz w:val="24"/>
                <w:szCs w:val="24"/>
              </w:rPr>
            </w:pPr>
            <w:r>
              <w:rPr>
                <w:rFonts w:hint="eastAsia" w:ascii="楷体_GB2312" w:hAnsi="楷体" w:eastAsia="楷体_GB2312"/>
                <w:sz w:val="24"/>
                <w:szCs w:val="24"/>
              </w:rPr>
              <w:t>□ 普通高等学校 □ 成人高等学校</w:t>
            </w:r>
          </w:p>
          <w:p>
            <w:pPr>
              <w:spacing w:line="420" w:lineRule="exact"/>
              <w:rPr>
                <w:rFonts w:ascii="楷体_GB2312" w:hAnsi="楷体" w:eastAsia="楷体_GB2312"/>
                <w:sz w:val="24"/>
                <w:szCs w:val="24"/>
              </w:rPr>
            </w:pPr>
            <w:r>
              <w:rPr>
                <w:rFonts w:hint="eastAsia" w:ascii="楷体_GB2312" w:hAnsi="楷体" w:eastAsia="楷体_GB2312"/>
                <w:sz w:val="24"/>
                <w:szCs w:val="24"/>
              </w:rPr>
              <w:t xml:space="preserve">□ 公办高等学校 □ 民办高等学校 □ 独立学院 </w:t>
            </w:r>
          </w:p>
          <w:p>
            <w:pPr>
              <w:spacing w:line="420" w:lineRule="exact"/>
              <w:rPr>
                <w:rFonts w:ascii="仿宋_GB2312" w:hAnsi="仿宋" w:eastAsia="仿宋_GB2312"/>
                <w:sz w:val="24"/>
                <w:szCs w:val="24"/>
              </w:rPr>
            </w:pPr>
            <w:r>
              <w:rPr>
                <w:rFonts w:hint="eastAsia" w:ascii="楷体_GB2312" w:hAnsi="楷体" w:eastAsia="楷体_GB2312"/>
                <w:sz w:val="24"/>
                <w:szCs w:val="24"/>
              </w:rPr>
              <w:t>□ 高等专科学校 □ 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82" w:type="dxa"/>
            <w:vMerge w:val="restart"/>
            <w:tcBorders>
              <w:top w:val="nil"/>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五、颁发学历证书的院校名称及证书种类</w:t>
            </w:r>
          </w:p>
        </w:tc>
        <w:tc>
          <w:tcPr>
            <w:tcW w:w="1897" w:type="dxa"/>
            <w:gridSpan w:val="2"/>
            <w:tcBorders>
              <w:top w:val="single" w:color="auto" w:sz="4" w:space="0"/>
              <w:left w:val="nil"/>
              <w:bottom w:val="single" w:color="auto" w:sz="4" w:space="0"/>
              <w:right w:val="single" w:color="auto" w:sz="4" w:space="0"/>
            </w:tcBorders>
            <w:noWrap w:val="0"/>
            <w:vAlign w:val="center"/>
          </w:tcPr>
          <w:p>
            <w:pPr>
              <w:spacing w:line="420" w:lineRule="exact"/>
              <w:jc w:val="distribute"/>
              <w:rPr>
                <w:rFonts w:ascii="仿宋_GB2312" w:hAnsi="仿宋" w:eastAsia="仿宋_GB2312"/>
                <w:b/>
                <w:bCs/>
                <w:sz w:val="24"/>
                <w:szCs w:val="24"/>
              </w:rPr>
            </w:pPr>
            <w:r>
              <w:rPr>
                <w:rFonts w:hint="eastAsia" w:ascii="仿宋_GB2312" w:hAnsi="仿宋" w:eastAsia="仿宋_GB2312"/>
                <w:b/>
                <w:bCs/>
                <w:sz w:val="24"/>
                <w:szCs w:val="24"/>
              </w:rPr>
              <w:t>院校名称</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82" w:type="dxa"/>
            <w:vMerge w:val="continue"/>
            <w:tcBorders>
              <w:top w:val="nil"/>
              <w:left w:val="single" w:color="auto" w:sz="12" w:space="0"/>
              <w:bottom w:val="single" w:color="auto" w:sz="4" w:space="0"/>
              <w:right w:val="single" w:color="auto" w:sz="4" w:space="0"/>
            </w:tcBorders>
            <w:noWrap w:val="0"/>
            <w:vAlign w:val="center"/>
          </w:tcPr>
          <w:p>
            <w:pPr>
              <w:widowControl/>
              <w:spacing w:line="420" w:lineRule="exact"/>
              <w:jc w:val="left"/>
              <w:rPr>
                <w:rFonts w:ascii="仿宋_GB2312" w:hAnsi="仿宋" w:eastAsia="仿宋_GB2312"/>
                <w:b/>
                <w:bCs/>
                <w:sz w:val="24"/>
                <w:szCs w:val="24"/>
              </w:rPr>
            </w:pPr>
          </w:p>
        </w:tc>
        <w:tc>
          <w:tcPr>
            <w:tcW w:w="1897" w:type="dxa"/>
            <w:gridSpan w:val="2"/>
            <w:tcBorders>
              <w:top w:val="single" w:color="auto" w:sz="4" w:space="0"/>
              <w:left w:val="nil"/>
              <w:bottom w:val="single" w:color="auto" w:sz="4" w:space="0"/>
              <w:right w:val="single" w:color="auto" w:sz="4" w:space="0"/>
            </w:tcBorders>
            <w:noWrap w:val="0"/>
            <w:vAlign w:val="center"/>
          </w:tcPr>
          <w:p>
            <w:pPr>
              <w:spacing w:line="420" w:lineRule="exact"/>
              <w:jc w:val="distribute"/>
              <w:rPr>
                <w:rFonts w:ascii="仿宋_GB2312" w:hAnsi="仿宋" w:eastAsia="仿宋_GB2312"/>
                <w:b/>
                <w:bCs/>
                <w:sz w:val="24"/>
                <w:szCs w:val="24"/>
              </w:rPr>
            </w:pPr>
            <w:r>
              <w:rPr>
                <w:rFonts w:hint="eastAsia" w:ascii="仿宋_GB2312" w:hAnsi="仿宋" w:eastAsia="仿宋_GB2312"/>
                <w:b/>
                <w:bCs/>
                <w:sz w:val="24"/>
                <w:szCs w:val="24"/>
              </w:rPr>
              <w:t>证书种类</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仿宋_GB2312" w:hAnsi="仿宋" w:eastAsia="仿宋_GB2312"/>
                <w:sz w:val="24"/>
                <w:szCs w:val="24"/>
              </w:rPr>
            </w:pPr>
            <w:r>
              <w:rPr>
                <w:rFonts w:hint="eastAsia" w:ascii="仿宋_GB2312" w:hAnsi="仿宋" w:eastAsia="仿宋_GB2312"/>
                <w:sz w:val="24"/>
                <w:szCs w:val="24"/>
              </w:rPr>
              <w:t>修学期满，符合毕业要求，颁发大学（学院）的本（专）科毕业证书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679"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六、院校招生管理机构</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_GB2312" w:hAnsi="楷体" w:eastAsia="楷体_GB2312"/>
                <w:sz w:val="24"/>
                <w:szCs w:val="24"/>
              </w:rPr>
            </w:pPr>
            <w:r>
              <w:rPr>
                <w:rFonts w:hint="eastAsia" w:ascii="楷体_GB2312" w:hAnsi="楷体" w:eastAsia="楷体_GB2312"/>
                <w:sz w:val="24"/>
                <w:szCs w:val="24"/>
              </w:rPr>
              <w:t>说明学校招生决策机构、业务机构及工作机制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七、招生计划分配的原则和办法</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_GB2312" w:hAnsi="楷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八、预留计划数及使用办法</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_GB2312" w:hAnsi="楷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九、专业教学培养</w:t>
            </w:r>
          </w:p>
          <w:p>
            <w:pPr>
              <w:spacing w:line="420" w:lineRule="exact"/>
              <w:ind w:firstLine="482" w:firstLineChars="200"/>
              <w:rPr>
                <w:rFonts w:ascii="仿宋_GB2312" w:hAnsi="仿宋" w:eastAsia="仿宋_GB2312"/>
                <w:b/>
                <w:bCs/>
                <w:sz w:val="24"/>
                <w:szCs w:val="24"/>
              </w:rPr>
            </w:pPr>
            <w:r>
              <w:rPr>
                <w:rFonts w:hint="eastAsia" w:ascii="仿宋_GB2312" w:hAnsi="仿宋" w:eastAsia="仿宋_GB2312"/>
                <w:b/>
                <w:bCs/>
                <w:sz w:val="24"/>
                <w:szCs w:val="24"/>
              </w:rPr>
              <w:t>使用外语语种</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_GB2312" w:hAnsi="楷体" w:eastAsia="楷体_GB2312"/>
                <w:sz w:val="24"/>
                <w:szCs w:val="24"/>
              </w:rPr>
            </w:pPr>
            <w:r>
              <w:rPr>
                <w:rFonts w:hint="eastAsia" w:ascii="楷体_GB2312" w:hAnsi="楷体" w:eastAsia="楷体_GB2312"/>
                <w:sz w:val="24"/>
                <w:szCs w:val="24"/>
              </w:rPr>
              <w:t>说明入学外语考试语种要求及外语教学语种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十、身体健康状况要求</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_GB2312" w:hAnsi="楷体" w:eastAsia="楷体_GB2312"/>
                <w:sz w:val="24"/>
                <w:szCs w:val="24"/>
              </w:rPr>
            </w:pPr>
            <w:r>
              <w:rPr>
                <w:rFonts w:hint="eastAsia" w:ascii="楷体_GB2312" w:hAnsi="楷体" w:eastAsia="楷体_GB2312"/>
                <w:sz w:val="24"/>
                <w:szCs w:val="24"/>
              </w:rPr>
              <w:t>说明是否对考生身体素质、健康状况有特殊要求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gridSpan w:val="3"/>
            <w:tcBorders>
              <w:top w:val="single" w:color="auto" w:sz="4" w:space="0"/>
              <w:left w:val="single" w:color="auto" w:sz="12" w:space="0"/>
              <w:bottom w:val="single" w:color="auto" w:sz="6"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十一、录取规则</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_GB2312" w:hAnsi="楷体" w:eastAsia="楷体_GB2312"/>
                <w:sz w:val="24"/>
                <w:szCs w:val="24"/>
              </w:rPr>
            </w:pPr>
            <w:r>
              <w:rPr>
                <w:rFonts w:hint="eastAsia" w:ascii="楷体_GB2312" w:hAnsi="楷体" w:eastAsia="楷体_GB2312"/>
                <w:sz w:val="24"/>
                <w:szCs w:val="24"/>
              </w:rPr>
              <w:t>说明有无加试要求、对加分或降低分数要求投档、投档成绩相同考生的处理、进档考生的专业安排办法及专业调剂录取办法等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978" w:type="dxa"/>
            <w:gridSpan w:val="2"/>
            <w:vMerge w:val="restart"/>
            <w:tcBorders>
              <w:top w:val="nil"/>
              <w:left w:val="single" w:color="auto" w:sz="12" w:space="0"/>
              <w:bottom w:val="single" w:color="auto" w:sz="4" w:space="0"/>
              <w:right w:val="single" w:color="auto" w:sz="6"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十二、收费标准</w:t>
            </w:r>
          </w:p>
        </w:tc>
        <w:tc>
          <w:tcPr>
            <w:tcW w:w="1701" w:type="dxa"/>
            <w:tcBorders>
              <w:top w:val="single" w:color="auto" w:sz="6" w:space="0"/>
              <w:left w:val="nil"/>
              <w:bottom w:val="single" w:color="auto" w:sz="4" w:space="0"/>
              <w:right w:val="single" w:color="auto" w:sz="6" w:space="0"/>
            </w:tcBorders>
            <w:noWrap w:val="0"/>
            <w:vAlign w:val="center"/>
          </w:tcPr>
          <w:p>
            <w:pPr>
              <w:spacing w:line="420" w:lineRule="exact"/>
              <w:jc w:val="distribute"/>
              <w:rPr>
                <w:rFonts w:ascii="仿宋_GB2312" w:hAnsi="仿宋" w:eastAsia="仿宋_GB2312"/>
                <w:b/>
                <w:bCs/>
                <w:sz w:val="24"/>
                <w:szCs w:val="24"/>
              </w:rPr>
            </w:pPr>
            <w:r>
              <w:rPr>
                <w:rFonts w:hint="eastAsia" w:ascii="仿宋_GB2312" w:hAnsi="仿宋" w:eastAsia="仿宋_GB2312"/>
                <w:b/>
                <w:bCs/>
                <w:sz w:val="24"/>
                <w:szCs w:val="24"/>
              </w:rPr>
              <w:t>学费标准</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_GB2312" w:hAnsi="楷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gridSpan w:val="2"/>
            <w:vMerge w:val="continue"/>
            <w:tcBorders>
              <w:top w:val="nil"/>
              <w:left w:val="single" w:color="auto" w:sz="12" w:space="0"/>
              <w:bottom w:val="single" w:color="auto" w:sz="4" w:space="0"/>
              <w:right w:val="single" w:color="auto" w:sz="6" w:space="0"/>
            </w:tcBorders>
            <w:noWrap w:val="0"/>
            <w:vAlign w:val="center"/>
          </w:tcPr>
          <w:p>
            <w:pPr>
              <w:widowControl/>
              <w:spacing w:line="420" w:lineRule="exact"/>
              <w:jc w:val="left"/>
              <w:rPr>
                <w:rFonts w:ascii="仿宋_GB2312" w:hAnsi="仿宋" w:eastAsia="仿宋_GB2312"/>
                <w:b/>
                <w:bCs/>
                <w:sz w:val="24"/>
                <w:szCs w:val="24"/>
              </w:rPr>
            </w:pPr>
          </w:p>
        </w:tc>
        <w:tc>
          <w:tcPr>
            <w:tcW w:w="1701" w:type="dxa"/>
            <w:tcBorders>
              <w:top w:val="single" w:color="auto" w:sz="4" w:space="0"/>
              <w:left w:val="nil"/>
              <w:bottom w:val="single" w:color="auto" w:sz="4" w:space="0"/>
              <w:right w:val="single" w:color="auto" w:sz="6" w:space="0"/>
            </w:tcBorders>
            <w:noWrap w:val="0"/>
            <w:vAlign w:val="center"/>
          </w:tcPr>
          <w:p>
            <w:pPr>
              <w:spacing w:line="420" w:lineRule="exact"/>
              <w:jc w:val="distribute"/>
              <w:rPr>
                <w:rFonts w:ascii="仿宋_GB2312" w:hAnsi="仿宋" w:eastAsia="仿宋_GB2312"/>
                <w:b/>
                <w:bCs/>
                <w:sz w:val="24"/>
                <w:szCs w:val="24"/>
              </w:rPr>
            </w:pPr>
            <w:r>
              <w:rPr>
                <w:rFonts w:hint="eastAsia" w:ascii="仿宋_GB2312" w:hAnsi="仿宋" w:eastAsia="仿宋_GB2312"/>
                <w:b/>
                <w:bCs/>
                <w:sz w:val="24"/>
                <w:szCs w:val="24"/>
              </w:rPr>
              <w:t>住宿费标准</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_GB2312" w:hAnsi="楷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十三、资助政策</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_GB2312" w:hAnsi="楷体" w:eastAsia="楷体_GB2312"/>
                <w:sz w:val="24"/>
                <w:szCs w:val="24"/>
              </w:rPr>
            </w:pPr>
            <w:r>
              <w:rPr>
                <w:rFonts w:hint="eastAsia" w:ascii="楷体_GB2312" w:hAnsi="楷体" w:eastAsia="楷体_GB2312"/>
                <w:sz w:val="24"/>
                <w:szCs w:val="24"/>
              </w:rPr>
              <w:t>说明家庭经济困难学生资助政策及有关程序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679"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十四、监督机制及举报电话</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 w:hAnsi="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gridSpan w:val="3"/>
            <w:tcBorders>
              <w:top w:val="single" w:color="auto" w:sz="4" w:space="0"/>
              <w:left w:val="single" w:color="auto" w:sz="12" w:space="0"/>
              <w:bottom w:val="single" w:color="auto" w:sz="4"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十五、网址及联系电话</w:t>
            </w:r>
          </w:p>
        </w:tc>
        <w:tc>
          <w:tcPr>
            <w:tcW w:w="5677" w:type="dxa"/>
            <w:tcBorders>
              <w:top w:val="single" w:color="auto" w:sz="4" w:space="0"/>
              <w:left w:val="nil"/>
              <w:bottom w:val="single" w:color="auto" w:sz="4" w:space="0"/>
              <w:right w:val="single" w:color="auto" w:sz="12" w:space="0"/>
            </w:tcBorders>
            <w:noWrap w:val="0"/>
            <w:vAlign w:val="center"/>
          </w:tcPr>
          <w:p>
            <w:pPr>
              <w:spacing w:line="420" w:lineRule="exact"/>
              <w:rPr>
                <w:rFonts w:ascii="楷体" w:hAnsi="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gridSpan w:val="3"/>
            <w:tcBorders>
              <w:top w:val="single" w:color="auto" w:sz="4" w:space="0"/>
              <w:left w:val="single" w:color="auto" w:sz="12" w:space="0"/>
              <w:bottom w:val="single" w:color="auto" w:sz="12" w:space="0"/>
              <w:right w:val="single" w:color="auto" w:sz="4" w:space="0"/>
            </w:tcBorders>
            <w:noWrap w:val="0"/>
            <w:vAlign w:val="center"/>
          </w:tcPr>
          <w:p>
            <w:pPr>
              <w:spacing w:line="420" w:lineRule="exact"/>
              <w:rPr>
                <w:rFonts w:ascii="仿宋_GB2312" w:hAnsi="仿宋" w:eastAsia="仿宋_GB2312"/>
                <w:b/>
                <w:bCs/>
                <w:sz w:val="24"/>
                <w:szCs w:val="24"/>
              </w:rPr>
            </w:pPr>
            <w:r>
              <w:rPr>
                <w:rFonts w:hint="eastAsia" w:ascii="仿宋_GB2312" w:hAnsi="仿宋" w:eastAsia="仿宋_GB2312"/>
                <w:b/>
                <w:bCs/>
                <w:sz w:val="24"/>
                <w:szCs w:val="24"/>
              </w:rPr>
              <w:t>十六、其他须知</w:t>
            </w:r>
          </w:p>
        </w:tc>
        <w:tc>
          <w:tcPr>
            <w:tcW w:w="5677" w:type="dxa"/>
            <w:tcBorders>
              <w:top w:val="single" w:color="auto" w:sz="4" w:space="0"/>
              <w:left w:val="nil"/>
              <w:bottom w:val="single" w:color="auto" w:sz="12" w:space="0"/>
              <w:right w:val="single" w:color="auto" w:sz="12" w:space="0"/>
            </w:tcBorders>
            <w:noWrap w:val="0"/>
            <w:vAlign w:val="center"/>
          </w:tcPr>
          <w:p>
            <w:pPr>
              <w:spacing w:line="420" w:lineRule="exact"/>
              <w:rPr>
                <w:rFonts w:ascii="仿宋_GB2312" w:hAnsi="仿宋" w:eastAsia="仿宋_GB2312"/>
                <w:sz w:val="24"/>
                <w:szCs w:val="24"/>
              </w:rPr>
            </w:pPr>
          </w:p>
        </w:tc>
      </w:tr>
    </w:tbl>
    <w:p>
      <w:pPr>
        <w:spacing w:line="560" w:lineRule="exact"/>
        <w:ind w:firstLine="364" w:firstLineChars="100"/>
        <w:rPr>
          <w:rFonts w:ascii="方正小标宋简体" w:hAnsi="华文中宋" w:eastAsia="方正小标宋简体"/>
          <w:spacing w:val="-8"/>
          <w:sz w:val="38"/>
          <w:szCs w:val="38"/>
        </w:rPr>
      </w:pPr>
      <w:r>
        <w:rPr>
          <w:rFonts w:ascii="方正小标宋简体" w:hAnsi="华文中宋" w:eastAsia="方正小标宋简体"/>
          <w:spacing w:val="-8"/>
          <w:sz w:val="38"/>
          <w:szCs w:val="38"/>
        </w:rPr>
        <w:br w:type="page"/>
      </w:r>
      <w:r>
        <w:rPr>
          <w:rFonts w:hint="eastAsia" w:ascii="方正小标宋简体" w:hAnsi="华文中宋" w:eastAsia="方正小标宋简体"/>
          <w:spacing w:val="-8"/>
          <w:sz w:val="38"/>
          <w:szCs w:val="38"/>
        </w:rPr>
        <w:t>2024年上海市普通高校招生章程核准备案表（正表）</w:t>
      </w:r>
    </w:p>
    <w:p>
      <w:pPr>
        <w:spacing w:line="400" w:lineRule="exact"/>
        <w:ind w:left="-9" w:leftChars="-100" w:right="-208" w:rightChars="-99" w:hanging="201" w:hangingChars="56"/>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（营利性民办高校用）</w:t>
      </w:r>
    </w:p>
    <w:p>
      <w:pPr>
        <w:spacing w:line="400" w:lineRule="exact"/>
        <w:ind w:left="-7" w:leftChars="-100" w:right="-208" w:rightChars="-99" w:hanging="203" w:hangingChars="56"/>
        <w:jc w:val="center"/>
        <w:rPr>
          <w:rFonts w:ascii="方正小标宋简体" w:hAnsi="仿宋" w:eastAsia="方正小标宋简体" w:cs="仿宋"/>
          <w:spacing w:val="-8"/>
          <w:sz w:val="38"/>
          <w:szCs w:val="38"/>
        </w:rPr>
      </w:pPr>
    </w:p>
    <w:tbl>
      <w:tblPr>
        <w:tblStyle w:val="5"/>
        <w:tblW w:w="9329"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196"/>
        <w:gridCol w:w="1701"/>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329" w:type="dxa"/>
            <w:gridSpan w:val="4"/>
            <w:tcBorders>
              <w:top w:val="single" w:color="auto" w:sz="12" w:space="0"/>
              <w:left w:val="single" w:color="auto" w:sz="12" w:space="0"/>
              <w:bottom w:val="single" w:color="auto" w:sz="4" w:space="0"/>
              <w:right w:val="single" w:color="auto" w:sz="12" w:space="0"/>
            </w:tcBorders>
            <w:noWrap w:val="0"/>
            <w:vAlign w:val="center"/>
          </w:tcPr>
          <w:p>
            <w:pPr>
              <w:spacing w:line="380" w:lineRule="exact"/>
              <w:ind w:firstLine="560"/>
              <w:jc w:val="center"/>
              <w:rPr>
                <w:rFonts w:ascii="楷体_GB2312" w:hAnsi="楷体" w:eastAsia="楷体_GB2312"/>
                <w:sz w:val="28"/>
                <w:szCs w:val="28"/>
              </w:rPr>
            </w:pPr>
            <w:r>
              <w:rPr>
                <w:rFonts w:hint="eastAsia" w:ascii="楷体_GB2312" w:hAnsi="楷体" w:eastAsia="楷体_GB2312"/>
                <w:sz w:val="28"/>
                <w:szCs w:val="28"/>
              </w:rPr>
              <w:t>2024年上海市普通高等学校全国统考招生章程</w:t>
            </w:r>
          </w:p>
          <w:p>
            <w:pPr>
              <w:spacing w:line="380" w:lineRule="exact"/>
              <w:jc w:val="center"/>
              <w:rPr>
                <w:rFonts w:ascii="仿宋_GB2312" w:hAnsi="仿宋" w:eastAsia="仿宋_GB2312"/>
                <w:sz w:val="28"/>
                <w:szCs w:val="28"/>
              </w:rPr>
            </w:pPr>
            <w:r>
              <w:rPr>
                <w:rFonts w:hint="eastAsia" w:ascii="楷体_GB2312" w:hAnsi="楷体" w:eastAsia="楷体_GB2312"/>
                <w:sz w:val="28"/>
                <w:szCs w:val="28"/>
              </w:rPr>
              <w:t>（秋季统一高考）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828" w:type="dxa"/>
            <w:gridSpan w:val="3"/>
            <w:tcBorders>
              <w:top w:val="single" w:color="auto" w:sz="12"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一、院校名称</w:t>
            </w:r>
          </w:p>
        </w:tc>
        <w:tc>
          <w:tcPr>
            <w:tcW w:w="5501" w:type="dxa"/>
            <w:tcBorders>
              <w:top w:val="single" w:color="auto" w:sz="12" w:space="0"/>
              <w:left w:val="nil"/>
              <w:bottom w:val="single" w:color="auto" w:sz="4" w:space="0"/>
              <w:right w:val="single" w:color="auto" w:sz="12" w:space="0"/>
            </w:tcBorders>
            <w:noWrap w:val="0"/>
            <w:vAlign w:val="top"/>
          </w:tcPr>
          <w:p>
            <w:pPr>
              <w:spacing w:line="380" w:lineRule="exact"/>
              <w:rPr>
                <w:rFonts w:ascii="仿宋_GB2312" w:hAnsi="仿宋" w:eastAsia="仿宋_GB2312"/>
                <w:sz w:val="24"/>
                <w:szCs w:val="24"/>
              </w:rPr>
            </w:pPr>
            <w:r>
              <w:rPr>
                <w:rFonts w:hint="eastAsia" w:ascii="仿宋_GB2312" w:hAnsi="仿宋" w:eastAsia="仿宋_GB2312"/>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二、就读校址</w:t>
            </w:r>
          </w:p>
        </w:tc>
        <w:tc>
          <w:tcPr>
            <w:tcW w:w="5501" w:type="dxa"/>
            <w:tcBorders>
              <w:top w:val="single" w:color="auto" w:sz="4" w:space="0"/>
              <w:left w:val="nil"/>
              <w:bottom w:val="single" w:color="auto" w:sz="4" w:space="0"/>
              <w:right w:val="single" w:color="auto" w:sz="12" w:space="0"/>
            </w:tcBorders>
            <w:noWrap w:val="0"/>
            <w:vAlign w:val="top"/>
          </w:tcPr>
          <w:p>
            <w:pPr>
              <w:spacing w:line="380" w:lineRule="exact"/>
              <w:rPr>
                <w:rFonts w:ascii="楷体_GB2312" w:hAnsi="楷体" w:eastAsia="楷体_GB2312"/>
                <w:sz w:val="24"/>
                <w:szCs w:val="24"/>
              </w:rPr>
            </w:pPr>
            <w:r>
              <w:rPr>
                <w:rFonts w:hint="eastAsia" w:ascii="楷体_GB2312" w:hAnsi="楷体" w:eastAsia="楷体_GB2312"/>
                <w:sz w:val="24"/>
                <w:szCs w:val="24"/>
              </w:rPr>
              <w:t>校本部与各校区地址，同时明确各年级及专业就读地址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三、层次</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仿宋_GB2312" w:hAnsi="仿宋" w:eastAsia="仿宋_GB2312"/>
                <w:sz w:val="24"/>
                <w:szCs w:val="24"/>
              </w:rPr>
            </w:pPr>
            <w:r>
              <w:rPr>
                <w:rFonts w:hint="eastAsia" w:ascii="仿宋_GB2312" w:hAnsi="仿宋" w:eastAsia="仿宋_GB2312"/>
                <w:sz w:val="24"/>
                <w:szCs w:val="24"/>
              </w:rPr>
              <w:t>□ 本科  □ 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四、办学类型</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_GB2312" w:hAnsi="楷体" w:eastAsia="楷体_GB2312"/>
                <w:sz w:val="24"/>
                <w:szCs w:val="24"/>
              </w:rPr>
            </w:pPr>
            <w:r>
              <w:rPr>
                <w:rFonts w:hint="eastAsia" w:ascii="楷体_GB2312" w:hAnsi="楷体" w:eastAsia="楷体_GB2312"/>
                <w:sz w:val="24"/>
                <w:szCs w:val="24"/>
              </w:rPr>
              <w:t>□ 普通高等学校 □ 成人高等学校</w:t>
            </w:r>
          </w:p>
          <w:p>
            <w:pPr>
              <w:spacing w:line="380" w:lineRule="exact"/>
              <w:rPr>
                <w:rFonts w:ascii="楷体_GB2312" w:hAnsi="楷体" w:eastAsia="楷体_GB2312"/>
                <w:sz w:val="24"/>
                <w:szCs w:val="24"/>
              </w:rPr>
            </w:pPr>
            <w:r>
              <w:rPr>
                <w:rFonts w:hint="eastAsia" w:ascii="楷体_GB2312" w:hAnsi="楷体" w:eastAsia="楷体_GB2312"/>
                <w:sz w:val="24"/>
                <w:szCs w:val="24"/>
              </w:rPr>
              <w:t xml:space="preserve">□ 公办高等学校 □ 民办高等学校 □ 独立学院 </w:t>
            </w:r>
          </w:p>
          <w:p>
            <w:pPr>
              <w:spacing w:line="380" w:lineRule="exact"/>
              <w:rPr>
                <w:rFonts w:ascii="仿宋_GB2312" w:hAnsi="仿宋" w:eastAsia="仿宋_GB2312"/>
                <w:sz w:val="24"/>
                <w:szCs w:val="24"/>
              </w:rPr>
            </w:pPr>
            <w:r>
              <w:rPr>
                <w:rFonts w:hint="eastAsia" w:ascii="楷体_GB2312" w:hAnsi="楷体" w:eastAsia="楷体_GB2312"/>
                <w:sz w:val="24"/>
                <w:szCs w:val="24"/>
              </w:rPr>
              <w:t>□ 高等专科学校 □ 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931" w:type="dxa"/>
            <w:vMerge w:val="restart"/>
            <w:tcBorders>
              <w:top w:val="nil"/>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五、颁发学历证书的院校名称及证书种类</w:t>
            </w:r>
          </w:p>
        </w:tc>
        <w:tc>
          <w:tcPr>
            <w:tcW w:w="1897" w:type="dxa"/>
            <w:gridSpan w:val="2"/>
            <w:tcBorders>
              <w:top w:val="single" w:color="auto" w:sz="4" w:space="0"/>
              <w:left w:val="nil"/>
              <w:bottom w:val="single" w:color="auto" w:sz="4" w:space="0"/>
              <w:right w:val="single" w:color="auto" w:sz="4" w:space="0"/>
            </w:tcBorders>
            <w:noWrap w:val="0"/>
            <w:vAlign w:val="center"/>
          </w:tcPr>
          <w:p>
            <w:pPr>
              <w:spacing w:line="380" w:lineRule="exact"/>
              <w:jc w:val="distribute"/>
              <w:rPr>
                <w:rFonts w:ascii="仿宋_GB2312" w:hAnsi="仿宋" w:eastAsia="仿宋_GB2312"/>
                <w:b/>
                <w:bCs/>
                <w:sz w:val="24"/>
                <w:szCs w:val="24"/>
              </w:rPr>
            </w:pPr>
            <w:r>
              <w:rPr>
                <w:rFonts w:hint="eastAsia" w:ascii="仿宋_GB2312" w:hAnsi="仿宋" w:eastAsia="仿宋_GB2312"/>
                <w:b/>
                <w:bCs/>
                <w:sz w:val="24"/>
                <w:szCs w:val="24"/>
              </w:rPr>
              <w:t>院校名称</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931" w:type="dxa"/>
            <w:vMerge w:val="continue"/>
            <w:tcBorders>
              <w:top w:val="nil"/>
              <w:left w:val="single" w:color="auto" w:sz="12" w:space="0"/>
              <w:bottom w:val="single" w:color="auto" w:sz="4" w:space="0"/>
              <w:right w:val="single" w:color="auto" w:sz="4" w:space="0"/>
            </w:tcBorders>
            <w:noWrap w:val="0"/>
            <w:vAlign w:val="center"/>
          </w:tcPr>
          <w:p>
            <w:pPr>
              <w:widowControl/>
              <w:spacing w:line="380" w:lineRule="exact"/>
              <w:jc w:val="left"/>
              <w:rPr>
                <w:rFonts w:ascii="仿宋_GB2312" w:hAnsi="仿宋" w:eastAsia="仿宋_GB2312"/>
                <w:b/>
                <w:bCs/>
                <w:sz w:val="24"/>
                <w:szCs w:val="24"/>
              </w:rPr>
            </w:pPr>
          </w:p>
        </w:tc>
        <w:tc>
          <w:tcPr>
            <w:tcW w:w="1897" w:type="dxa"/>
            <w:gridSpan w:val="2"/>
            <w:tcBorders>
              <w:top w:val="single" w:color="auto" w:sz="4" w:space="0"/>
              <w:left w:val="nil"/>
              <w:bottom w:val="single" w:color="auto" w:sz="4" w:space="0"/>
              <w:right w:val="single" w:color="auto" w:sz="4" w:space="0"/>
            </w:tcBorders>
            <w:noWrap w:val="0"/>
            <w:vAlign w:val="center"/>
          </w:tcPr>
          <w:p>
            <w:pPr>
              <w:spacing w:line="380" w:lineRule="exact"/>
              <w:jc w:val="distribute"/>
              <w:rPr>
                <w:rFonts w:ascii="仿宋_GB2312" w:hAnsi="仿宋" w:eastAsia="仿宋_GB2312"/>
                <w:b/>
                <w:bCs/>
                <w:sz w:val="24"/>
                <w:szCs w:val="24"/>
              </w:rPr>
            </w:pPr>
            <w:r>
              <w:rPr>
                <w:rFonts w:hint="eastAsia" w:ascii="仿宋_GB2312" w:hAnsi="仿宋" w:eastAsia="仿宋_GB2312"/>
                <w:b/>
                <w:bCs/>
                <w:sz w:val="24"/>
                <w:szCs w:val="24"/>
              </w:rPr>
              <w:t>证书种类</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仿宋_GB2312" w:hAnsi="仿宋" w:eastAsia="仿宋_GB2312"/>
                <w:sz w:val="24"/>
                <w:szCs w:val="24"/>
              </w:rPr>
            </w:pPr>
            <w:r>
              <w:rPr>
                <w:rFonts w:hint="eastAsia" w:ascii="仿宋_GB2312" w:hAnsi="仿宋" w:eastAsia="仿宋_GB2312"/>
                <w:sz w:val="24"/>
                <w:szCs w:val="24"/>
              </w:rPr>
              <w:t>修学期满，符合毕业要求，颁发学院的本（专）科毕业证书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六、院校招生管理机构</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_GB2312" w:hAnsi="楷体" w:eastAsia="楷体_GB2312"/>
                <w:sz w:val="24"/>
                <w:szCs w:val="24"/>
              </w:rPr>
            </w:pPr>
            <w:r>
              <w:rPr>
                <w:rFonts w:hint="eastAsia" w:ascii="楷体_GB2312" w:hAnsi="楷体" w:eastAsia="楷体_GB2312"/>
                <w:color w:val="000000"/>
                <w:sz w:val="24"/>
                <w:szCs w:val="24"/>
              </w:rPr>
              <w:t>******学院是营利性民办高校，全称为******学院有限（责任）公司；</w:t>
            </w:r>
            <w:r>
              <w:rPr>
                <w:rFonts w:hint="eastAsia" w:ascii="仿宋_GB2312" w:hAnsi="仿宋" w:eastAsia="仿宋_GB2312"/>
                <w:color w:val="000000"/>
                <w:sz w:val="24"/>
                <w:szCs w:val="24"/>
              </w:rPr>
              <w:t>同时</w:t>
            </w:r>
            <w:r>
              <w:rPr>
                <w:rFonts w:hint="eastAsia" w:ascii="楷体_GB2312" w:hAnsi="楷体" w:eastAsia="楷体_GB2312"/>
                <w:sz w:val="24"/>
                <w:szCs w:val="24"/>
              </w:rPr>
              <w:t>说明学校招生决策机构、业务机构及工作机制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七、招生计划分配的原则和办法</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_GB2312" w:hAnsi="楷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八、预留计划数及使用办法</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_GB2312" w:hAnsi="楷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九、专业教学培养</w:t>
            </w:r>
          </w:p>
          <w:p>
            <w:pPr>
              <w:spacing w:line="380" w:lineRule="exact"/>
              <w:ind w:firstLine="482" w:firstLineChars="200"/>
              <w:rPr>
                <w:rFonts w:ascii="仿宋_GB2312" w:hAnsi="仿宋" w:eastAsia="仿宋_GB2312"/>
                <w:b/>
                <w:bCs/>
                <w:sz w:val="24"/>
                <w:szCs w:val="24"/>
              </w:rPr>
            </w:pPr>
            <w:r>
              <w:rPr>
                <w:rFonts w:hint="eastAsia" w:ascii="仿宋_GB2312" w:hAnsi="仿宋" w:eastAsia="仿宋_GB2312"/>
                <w:b/>
                <w:bCs/>
                <w:sz w:val="24"/>
                <w:szCs w:val="24"/>
              </w:rPr>
              <w:t>使用外语语种</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_GB2312" w:hAnsi="楷体" w:eastAsia="楷体_GB2312"/>
                <w:sz w:val="24"/>
                <w:szCs w:val="24"/>
              </w:rPr>
            </w:pPr>
            <w:r>
              <w:rPr>
                <w:rFonts w:hint="eastAsia" w:ascii="楷体_GB2312" w:hAnsi="楷体" w:eastAsia="楷体_GB2312"/>
                <w:sz w:val="24"/>
                <w:szCs w:val="24"/>
              </w:rPr>
              <w:t>说明入学外语考试语种要求及外语教学语种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十、身体健康状况要求</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_GB2312" w:hAnsi="楷体" w:eastAsia="楷体_GB2312"/>
                <w:sz w:val="24"/>
                <w:szCs w:val="24"/>
              </w:rPr>
            </w:pPr>
            <w:r>
              <w:rPr>
                <w:rFonts w:hint="eastAsia" w:ascii="楷体_GB2312" w:hAnsi="楷体" w:eastAsia="楷体_GB2312"/>
                <w:sz w:val="24"/>
                <w:szCs w:val="24"/>
              </w:rPr>
              <w:t>说明是否对考生身体素质、健康状况有特殊要求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6"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十一、录取规则</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_GB2312" w:hAnsi="楷体" w:eastAsia="楷体_GB2312"/>
                <w:sz w:val="24"/>
                <w:szCs w:val="24"/>
              </w:rPr>
            </w:pPr>
            <w:r>
              <w:rPr>
                <w:rFonts w:hint="eastAsia" w:ascii="楷体_GB2312" w:hAnsi="楷体" w:eastAsia="楷体_GB2312"/>
                <w:sz w:val="24"/>
                <w:szCs w:val="24"/>
              </w:rPr>
              <w:t>说明有无加试要求、对加分或降低分数要求投档、投档成绩相同考生的处理、进档考生的专业安排办法及专业调剂录取办法等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127" w:type="dxa"/>
            <w:gridSpan w:val="2"/>
            <w:vMerge w:val="restart"/>
            <w:tcBorders>
              <w:top w:val="nil"/>
              <w:left w:val="single" w:color="auto" w:sz="12" w:space="0"/>
              <w:bottom w:val="single" w:color="auto" w:sz="4" w:space="0"/>
              <w:right w:val="single" w:color="auto" w:sz="6"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十二、收费标准</w:t>
            </w:r>
          </w:p>
        </w:tc>
        <w:tc>
          <w:tcPr>
            <w:tcW w:w="1701" w:type="dxa"/>
            <w:tcBorders>
              <w:top w:val="single" w:color="auto" w:sz="6" w:space="0"/>
              <w:left w:val="nil"/>
              <w:bottom w:val="single" w:color="auto" w:sz="4" w:space="0"/>
              <w:right w:val="single" w:color="auto" w:sz="6" w:space="0"/>
            </w:tcBorders>
            <w:noWrap w:val="0"/>
            <w:vAlign w:val="center"/>
          </w:tcPr>
          <w:p>
            <w:pPr>
              <w:spacing w:line="380" w:lineRule="exact"/>
              <w:jc w:val="distribute"/>
              <w:rPr>
                <w:rFonts w:ascii="仿宋_GB2312" w:hAnsi="仿宋" w:eastAsia="仿宋_GB2312"/>
                <w:b/>
                <w:bCs/>
                <w:sz w:val="24"/>
                <w:szCs w:val="24"/>
              </w:rPr>
            </w:pPr>
            <w:r>
              <w:rPr>
                <w:rFonts w:hint="eastAsia" w:ascii="仿宋_GB2312" w:hAnsi="仿宋" w:eastAsia="仿宋_GB2312"/>
                <w:b/>
                <w:bCs/>
                <w:sz w:val="24"/>
                <w:szCs w:val="24"/>
              </w:rPr>
              <w:t>学费标准</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_GB2312" w:hAnsi="楷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gridSpan w:val="2"/>
            <w:vMerge w:val="continue"/>
            <w:tcBorders>
              <w:top w:val="nil"/>
              <w:left w:val="single" w:color="auto" w:sz="12" w:space="0"/>
              <w:bottom w:val="single" w:color="auto" w:sz="4" w:space="0"/>
              <w:right w:val="single" w:color="auto" w:sz="6" w:space="0"/>
            </w:tcBorders>
            <w:noWrap w:val="0"/>
            <w:vAlign w:val="center"/>
          </w:tcPr>
          <w:p>
            <w:pPr>
              <w:widowControl/>
              <w:spacing w:line="380" w:lineRule="exact"/>
              <w:jc w:val="left"/>
              <w:rPr>
                <w:rFonts w:ascii="仿宋_GB2312" w:hAnsi="仿宋" w:eastAsia="仿宋_GB2312"/>
                <w:b/>
                <w:bCs/>
                <w:sz w:val="24"/>
                <w:szCs w:val="24"/>
              </w:rPr>
            </w:pPr>
          </w:p>
        </w:tc>
        <w:tc>
          <w:tcPr>
            <w:tcW w:w="1701" w:type="dxa"/>
            <w:tcBorders>
              <w:top w:val="single" w:color="auto" w:sz="4" w:space="0"/>
              <w:left w:val="nil"/>
              <w:bottom w:val="single" w:color="auto" w:sz="4" w:space="0"/>
              <w:right w:val="single" w:color="auto" w:sz="6" w:space="0"/>
            </w:tcBorders>
            <w:noWrap w:val="0"/>
            <w:vAlign w:val="center"/>
          </w:tcPr>
          <w:p>
            <w:pPr>
              <w:spacing w:line="380" w:lineRule="exact"/>
              <w:jc w:val="distribute"/>
              <w:rPr>
                <w:rFonts w:ascii="仿宋_GB2312" w:hAnsi="仿宋" w:eastAsia="仿宋_GB2312"/>
                <w:b/>
                <w:bCs/>
                <w:sz w:val="24"/>
                <w:szCs w:val="24"/>
              </w:rPr>
            </w:pPr>
            <w:r>
              <w:rPr>
                <w:rFonts w:hint="eastAsia" w:ascii="仿宋_GB2312" w:hAnsi="仿宋" w:eastAsia="仿宋_GB2312"/>
                <w:b/>
                <w:bCs/>
                <w:sz w:val="24"/>
                <w:szCs w:val="24"/>
              </w:rPr>
              <w:t>住宿费标准</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_GB2312" w:hAnsi="楷体"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十三、资助政策</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_GB2312" w:hAnsi="楷体" w:eastAsia="楷体_GB2312"/>
                <w:sz w:val="24"/>
                <w:szCs w:val="24"/>
              </w:rPr>
            </w:pPr>
            <w:r>
              <w:rPr>
                <w:rFonts w:hint="eastAsia" w:ascii="楷体_GB2312" w:hAnsi="楷体" w:eastAsia="楷体_GB2312"/>
                <w:sz w:val="24"/>
                <w:szCs w:val="24"/>
              </w:rPr>
              <w:t>说明家庭经济困难学生资助政策及有关程序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十四、监督机制及举报电话</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 w:hAnsi="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4"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十五、网址及联系电话</w:t>
            </w:r>
          </w:p>
        </w:tc>
        <w:tc>
          <w:tcPr>
            <w:tcW w:w="5501" w:type="dxa"/>
            <w:tcBorders>
              <w:top w:val="single" w:color="auto" w:sz="4" w:space="0"/>
              <w:left w:val="nil"/>
              <w:bottom w:val="single" w:color="auto" w:sz="4" w:space="0"/>
              <w:right w:val="single" w:color="auto" w:sz="12" w:space="0"/>
            </w:tcBorders>
            <w:noWrap w:val="0"/>
            <w:vAlign w:val="center"/>
          </w:tcPr>
          <w:p>
            <w:pPr>
              <w:spacing w:line="380" w:lineRule="exact"/>
              <w:rPr>
                <w:rFonts w:ascii="楷体" w:hAnsi="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gridSpan w:val="3"/>
            <w:tcBorders>
              <w:top w:val="single" w:color="auto" w:sz="4" w:space="0"/>
              <w:left w:val="single" w:color="auto" w:sz="12" w:space="0"/>
              <w:bottom w:val="single" w:color="auto" w:sz="12" w:space="0"/>
              <w:right w:val="single" w:color="auto" w:sz="4" w:space="0"/>
            </w:tcBorders>
            <w:noWrap w:val="0"/>
            <w:vAlign w:val="center"/>
          </w:tcPr>
          <w:p>
            <w:pPr>
              <w:spacing w:line="380" w:lineRule="exact"/>
              <w:rPr>
                <w:rFonts w:ascii="仿宋_GB2312" w:hAnsi="仿宋" w:eastAsia="仿宋_GB2312"/>
                <w:b/>
                <w:bCs/>
                <w:sz w:val="24"/>
                <w:szCs w:val="24"/>
              </w:rPr>
            </w:pPr>
            <w:r>
              <w:rPr>
                <w:rFonts w:hint="eastAsia" w:ascii="仿宋_GB2312" w:hAnsi="仿宋" w:eastAsia="仿宋_GB2312"/>
                <w:b/>
                <w:bCs/>
                <w:sz w:val="24"/>
                <w:szCs w:val="24"/>
              </w:rPr>
              <w:t>十六、其他须知</w:t>
            </w:r>
          </w:p>
        </w:tc>
        <w:tc>
          <w:tcPr>
            <w:tcW w:w="5501" w:type="dxa"/>
            <w:tcBorders>
              <w:top w:val="single" w:color="auto" w:sz="4" w:space="0"/>
              <w:left w:val="nil"/>
              <w:bottom w:val="single" w:color="auto" w:sz="12" w:space="0"/>
              <w:right w:val="single" w:color="auto" w:sz="12" w:space="0"/>
            </w:tcBorders>
            <w:noWrap w:val="0"/>
            <w:vAlign w:val="center"/>
          </w:tcPr>
          <w:p>
            <w:pPr>
              <w:spacing w:line="380" w:lineRule="exact"/>
              <w:rPr>
                <w:rFonts w:ascii="仿宋_GB2312" w:hAnsi="仿宋" w:eastAsia="仿宋_GB2312"/>
                <w:sz w:val="24"/>
                <w:szCs w:val="24"/>
              </w:rPr>
            </w:pPr>
          </w:p>
        </w:tc>
      </w:tr>
    </w:tbl>
    <w:p>
      <w:pPr>
        <w:spacing w:line="560" w:lineRule="exact"/>
        <w:rPr>
          <w:rFonts w:ascii="黑体" w:hAnsi="仿宋" w:eastAsia="黑体" w:cs="仿宋"/>
          <w:sz w:val="32"/>
          <w:szCs w:val="32"/>
        </w:rPr>
      </w:pPr>
      <w:r>
        <w:rPr>
          <w:rFonts w:hint="eastAsia" w:ascii="黑体" w:hAnsi="仿宋" w:eastAsia="黑体" w:cs="仿宋"/>
          <w:sz w:val="32"/>
          <w:szCs w:val="32"/>
        </w:rPr>
        <w:br w:type="page"/>
      </w:r>
      <w:r>
        <w:rPr>
          <w:rFonts w:hint="eastAsia" w:ascii="黑体" w:hAnsi="仿宋" w:eastAsia="黑体" w:cs="仿宋"/>
          <w:sz w:val="32"/>
          <w:szCs w:val="32"/>
        </w:rPr>
        <w:t>附件2</w:t>
      </w:r>
    </w:p>
    <w:p>
      <w:pPr>
        <w:spacing w:line="400" w:lineRule="exact"/>
        <w:ind w:left="-43" w:hanging="272"/>
        <w:rPr>
          <w:rFonts w:ascii="黑体" w:hAnsi="仿宋" w:eastAsia="黑体" w:cs="仿宋"/>
          <w:sz w:val="32"/>
          <w:szCs w:val="32"/>
        </w:rPr>
      </w:pPr>
      <w:r>
        <w:rPr>
          <w:rFonts w:hint="eastAsia" w:ascii="黑体" w:hAnsi="仿宋" w:eastAsia="黑体" w:cs="仿宋"/>
          <w:sz w:val="32"/>
          <w:szCs w:val="32"/>
        </w:rPr>
        <w:t xml:space="preserve"> </w:t>
      </w:r>
    </w:p>
    <w:p>
      <w:pPr>
        <w:spacing w:line="520" w:lineRule="exact"/>
        <w:ind w:left="-9" w:leftChars="-150" w:right="-418" w:rightChars="-199" w:hanging="306" w:hangingChars="85"/>
        <w:jc w:val="center"/>
        <w:rPr>
          <w:rFonts w:ascii="方正小标宋简体" w:hAnsi="仿宋" w:eastAsia="方正小标宋简体" w:cs="仿宋"/>
          <w:spacing w:val="-10"/>
          <w:sz w:val="38"/>
          <w:szCs w:val="38"/>
        </w:rPr>
      </w:pPr>
      <w:r>
        <w:rPr>
          <w:rFonts w:hint="eastAsia" w:ascii="方正小标宋简体" w:hAnsi="仿宋" w:eastAsia="方正小标宋简体" w:cs="仿宋"/>
          <w:spacing w:val="-10"/>
          <w:sz w:val="38"/>
          <w:szCs w:val="38"/>
        </w:rPr>
        <w:t>2024年上海市普通高校招生章程核准备案表（副表）</w:t>
      </w:r>
    </w:p>
    <w:p>
      <w:pPr>
        <w:spacing w:line="520" w:lineRule="exact"/>
        <w:ind w:left="-94" w:leftChars="-150" w:right="-418" w:rightChars="-199" w:hanging="221" w:hangingChars="85"/>
        <w:jc w:val="center"/>
        <w:rPr>
          <w:rFonts w:ascii="仿宋_GB2312" w:hAnsi="仿宋" w:eastAsia="仿宋_GB2312"/>
          <w:spacing w:val="-10"/>
          <w:sz w:val="28"/>
          <w:szCs w:val="28"/>
        </w:rPr>
      </w:pPr>
      <w:r>
        <w:rPr>
          <w:rFonts w:hint="eastAsia" w:ascii="仿宋_GB2312" w:hAnsi="仿宋" w:eastAsia="仿宋_GB2312" w:cs="仿宋"/>
          <w:spacing w:val="-10"/>
          <w:sz w:val="28"/>
          <w:szCs w:val="28"/>
        </w:rPr>
        <w:t>（全国统考/秋季统一高考）</w:t>
      </w:r>
    </w:p>
    <w:tbl>
      <w:tblPr>
        <w:tblStyle w:val="5"/>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4050"/>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0" w:hRule="atLeast"/>
          <w:jc w:val="center"/>
        </w:trPr>
        <w:tc>
          <w:tcPr>
            <w:tcW w:w="469" w:type="dxa"/>
            <w:tcBorders>
              <w:top w:val="single" w:color="auto" w:sz="12" w:space="0"/>
              <w:left w:val="single" w:color="auto" w:sz="12" w:space="0"/>
              <w:bottom w:val="single" w:color="auto" w:sz="12" w:space="0"/>
              <w:right w:val="single" w:color="auto" w:sz="4" w:space="0"/>
            </w:tcBorders>
            <w:noWrap w:val="0"/>
            <w:vAlign w:val="center"/>
          </w:tcPr>
          <w:p>
            <w:pPr>
              <w:jc w:val="center"/>
              <w:rPr>
                <w:rFonts w:ascii="仿宋_GB2312" w:hAnsi="仿宋" w:eastAsia="仿宋_GB2312"/>
                <w:sz w:val="24"/>
                <w:szCs w:val="24"/>
              </w:rPr>
            </w:pPr>
            <w:r>
              <w:rPr>
                <w:rFonts w:hint="eastAsia" w:ascii="仿宋_GB2312" w:hAnsi="仿宋" w:eastAsia="仿宋_GB2312" w:cs="仿宋"/>
                <w:sz w:val="24"/>
                <w:szCs w:val="24"/>
              </w:rPr>
              <w:t>院校填写</w:t>
            </w:r>
          </w:p>
        </w:tc>
        <w:tc>
          <w:tcPr>
            <w:tcW w:w="8569" w:type="dxa"/>
            <w:gridSpan w:val="2"/>
            <w:tcBorders>
              <w:top w:val="single" w:color="auto" w:sz="12" w:space="0"/>
              <w:left w:val="nil"/>
              <w:bottom w:val="single" w:color="auto" w:sz="12" w:space="0"/>
              <w:right w:val="single" w:color="auto" w:sz="12" w:space="0"/>
            </w:tcBorders>
            <w:noWrap w:val="0"/>
            <w:vAlign w:val="top"/>
          </w:tcPr>
          <w:p>
            <w:pPr>
              <w:spacing w:line="560" w:lineRule="exact"/>
              <w:ind w:left="-77" w:leftChars="-257" w:hanging="463" w:hangingChars="193"/>
              <w:jc w:val="center"/>
              <w:rPr>
                <w:rFonts w:ascii="仿宋_GB2312" w:hAnsi="仿宋" w:eastAsia="仿宋_GB2312"/>
                <w:sz w:val="24"/>
                <w:szCs w:val="24"/>
              </w:rPr>
            </w:pPr>
            <w:r>
              <w:rPr>
                <w:rFonts w:hint="eastAsia" w:ascii="仿宋_GB2312" w:hAnsi="仿宋" w:eastAsia="仿宋_GB2312" w:cs="仿宋"/>
                <w:sz w:val="24"/>
                <w:szCs w:val="24"/>
              </w:rPr>
              <w:t>申    明</w:t>
            </w:r>
          </w:p>
          <w:p>
            <w:pPr>
              <w:adjustRightInd w:val="0"/>
              <w:snapToGrid w:val="0"/>
              <w:spacing w:line="560" w:lineRule="atLeast"/>
              <w:ind w:firstLine="480" w:firstLineChars="200"/>
              <w:rPr>
                <w:rFonts w:ascii="仿宋_GB2312" w:hAnsi="仿宋" w:eastAsia="仿宋_GB2312"/>
                <w:sz w:val="24"/>
                <w:szCs w:val="24"/>
              </w:rPr>
            </w:pPr>
            <w:r>
              <w:rPr>
                <w:rFonts w:hint="eastAsia" w:ascii="仿宋_GB2312" w:hAnsi="仿宋" w:eastAsia="仿宋_GB2312" w:cs="仿宋"/>
                <w:sz w:val="24"/>
                <w:szCs w:val="24"/>
              </w:rPr>
              <w:t>我校依据《中华人民共和国教育法》《中华人民共和国高等教育法》《中华人民共和国民办教育促进法》和《中华人民共和国中外合作办学条例》以及教育部和市教委有关规定制订本校的招生章程，所有内容均合法真实有效，我校将严格按照经核定备案的招生章程向社会公布，并承担教育部关于“学校法定代表人应对学校招生章程及有关宣传材料的真实性负责”规定的相关责任。</w:t>
            </w:r>
          </w:p>
          <w:p>
            <w:pPr>
              <w:adjustRightInd w:val="0"/>
              <w:snapToGrid w:val="0"/>
              <w:spacing w:line="560" w:lineRule="atLeast"/>
              <w:ind w:firstLine="1560" w:firstLineChars="650"/>
              <w:rPr>
                <w:rFonts w:ascii="仿宋_GB2312" w:hAnsi="仿宋" w:eastAsia="仿宋_GB2312" w:cs="仿宋"/>
                <w:sz w:val="24"/>
                <w:szCs w:val="24"/>
              </w:rPr>
            </w:pPr>
            <w:r>
              <w:rPr>
                <w:rFonts w:hint="eastAsia" w:ascii="仿宋_GB2312" w:hAnsi="仿宋" w:eastAsia="仿宋_GB2312" w:cs="仿宋"/>
                <w:sz w:val="24"/>
                <w:szCs w:val="24"/>
              </w:rPr>
              <w:t>院  校  全  称（盖章）：</w:t>
            </w:r>
          </w:p>
          <w:p>
            <w:pPr>
              <w:adjustRightInd w:val="0"/>
              <w:snapToGrid w:val="0"/>
              <w:spacing w:line="560" w:lineRule="atLeast"/>
              <w:ind w:firstLine="1560" w:firstLineChars="650"/>
              <w:rPr>
                <w:rFonts w:ascii="仿宋_GB2312" w:hAnsi="仿宋" w:eastAsia="仿宋_GB2312" w:cs="仿宋"/>
                <w:sz w:val="24"/>
                <w:szCs w:val="24"/>
              </w:rPr>
            </w:pPr>
            <w:r>
              <w:rPr>
                <w:rFonts w:hint="eastAsia" w:ascii="仿宋_GB2312" w:hAnsi="仿宋" w:eastAsia="仿宋_GB2312" w:cs="仿宋"/>
                <w:sz w:val="24"/>
                <w:szCs w:val="24"/>
              </w:rPr>
              <w:t>院校法定代表人（签字）：</w:t>
            </w:r>
          </w:p>
          <w:p>
            <w:pPr>
              <w:adjustRightInd w:val="0"/>
              <w:snapToGrid w:val="0"/>
              <w:spacing w:line="560" w:lineRule="atLeast"/>
              <w:ind w:firstLine="1560" w:firstLineChars="650"/>
              <w:rPr>
                <w:rFonts w:ascii="仿宋_GB2312" w:hAnsi="仿宋" w:eastAsia="仿宋_GB2312" w:cs="仿宋"/>
                <w:sz w:val="24"/>
                <w:szCs w:val="24"/>
              </w:rPr>
            </w:pPr>
            <w:r>
              <w:rPr>
                <w:rFonts w:hint="eastAsia" w:ascii="仿宋_GB2312" w:hAnsi="仿宋" w:eastAsia="仿宋_GB2312" w:cs="仿宋"/>
                <w:sz w:val="24"/>
                <w:szCs w:val="24"/>
              </w:rPr>
              <w:t>招生办公室负责人（签字）：</w:t>
            </w:r>
          </w:p>
          <w:p>
            <w:pPr>
              <w:adjustRightInd w:val="0"/>
              <w:snapToGrid w:val="0"/>
              <w:spacing w:line="560" w:lineRule="atLeast"/>
              <w:ind w:firstLine="1680" w:firstLineChars="700"/>
              <w:jc w:val="right"/>
              <w:rPr>
                <w:rFonts w:ascii="仿宋_GB2312" w:hAnsi="仿宋" w:eastAsia="仿宋_GB2312"/>
                <w:sz w:val="24"/>
                <w:szCs w:val="24"/>
              </w:rPr>
            </w:pPr>
            <w:r>
              <w:rPr>
                <w:rFonts w:hint="eastAsia" w:ascii="仿宋_GB2312" w:hAnsi="仿宋" w:eastAsia="仿宋_GB2312" w:cs="仿宋"/>
                <w:color w:val="000000"/>
                <w:kern w:val="0"/>
                <w:sz w:val="24"/>
                <w:szCs w:val="24"/>
              </w:rPr>
              <w:t xml:space="preserve"> 日期：</w:t>
            </w:r>
            <w:r>
              <w:rPr>
                <w:rFonts w:hint="eastAsia" w:ascii="仿宋_GB2312" w:hAnsi="仿宋" w:eastAsia="仿宋_GB2312"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8" w:type="dxa"/>
            <w:gridSpan w:val="3"/>
            <w:tcBorders>
              <w:top w:val="single" w:color="auto" w:sz="12" w:space="0"/>
              <w:left w:val="single" w:color="auto" w:sz="12" w:space="0"/>
              <w:bottom w:val="single" w:color="auto" w:sz="4" w:space="0"/>
              <w:right w:val="single" w:color="auto" w:sz="12" w:space="0"/>
            </w:tcBorders>
            <w:noWrap w:val="0"/>
            <w:vAlign w:val="center"/>
          </w:tcPr>
          <w:p>
            <w:pPr>
              <w:spacing w:line="500" w:lineRule="exact"/>
              <w:rPr>
                <w:rFonts w:ascii="仿宋_GB2312" w:hAnsi="仿宋" w:eastAsia="仿宋_GB2312"/>
                <w:sz w:val="24"/>
                <w:szCs w:val="24"/>
              </w:rPr>
            </w:pPr>
            <w:r>
              <w:rPr>
                <w:rFonts w:hint="eastAsia" w:ascii="仿宋_GB2312" w:hAnsi="仿宋" w:eastAsia="仿宋_GB2312" w:cs="仿宋"/>
                <w:sz w:val="24"/>
                <w:szCs w:val="24"/>
              </w:rPr>
              <w:t>上海市高校招生和就业工作联席会议办公室意见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top w:val="single" w:color="auto" w:sz="4" w:space="0"/>
              <w:left w:val="single" w:color="auto" w:sz="12" w:space="0"/>
              <w:bottom w:val="single" w:color="auto" w:sz="4" w:space="0"/>
              <w:right w:val="single" w:color="auto" w:sz="4" w:space="0"/>
            </w:tcBorders>
            <w:noWrap w:val="0"/>
            <w:vAlign w:val="center"/>
          </w:tcPr>
          <w:p>
            <w:pPr>
              <w:spacing w:line="500" w:lineRule="exact"/>
              <w:rPr>
                <w:rFonts w:ascii="仿宋_GB2312" w:hAnsi="仿宋" w:eastAsia="仿宋_GB2312"/>
                <w:sz w:val="24"/>
                <w:szCs w:val="24"/>
              </w:rPr>
            </w:pPr>
            <w:r>
              <w:rPr>
                <w:rFonts w:hint="eastAsia" w:ascii="仿宋_GB2312" w:hAnsi="仿宋" w:eastAsia="仿宋_GB2312" w:cs="仿宋"/>
                <w:sz w:val="24"/>
                <w:szCs w:val="24"/>
              </w:rPr>
              <w:t>发展规划处：</w:t>
            </w:r>
          </w:p>
        </w:tc>
        <w:tc>
          <w:tcPr>
            <w:tcW w:w="4519" w:type="dxa"/>
            <w:tcBorders>
              <w:top w:val="single" w:color="auto" w:sz="4" w:space="0"/>
              <w:left w:val="nil"/>
              <w:bottom w:val="single" w:color="auto" w:sz="4" w:space="0"/>
              <w:right w:val="single" w:color="auto" w:sz="12" w:space="0"/>
            </w:tcBorders>
            <w:noWrap w:val="0"/>
            <w:vAlign w:val="center"/>
          </w:tcPr>
          <w:p>
            <w:pPr>
              <w:spacing w:line="500" w:lineRule="exact"/>
              <w:rPr>
                <w:rFonts w:ascii="仿宋_GB2312" w:hAnsi="仿宋" w:eastAsia="仿宋_GB2312"/>
                <w:sz w:val="24"/>
                <w:szCs w:val="24"/>
              </w:rPr>
            </w:pPr>
            <w:r>
              <w:rPr>
                <w:rFonts w:hint="eastAsia" w:ascii="仿宋_GB2312" w:hAnsi="仿宋" w:eastAsia="仿宋_GB2312" w:cs="仿宋"/>
                <w:sz w:val="24"/>
                <w:szCs w:val="24"/>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top w:val="single" w:color="auto" w:sz="4" w:space="0"/>
              <w:left w:val="single" w:color="auto" w:sz="12" w:space="0"/>
              <w:bottom w:val="single" w:color="auto" w:sz="4" w:space="0"/>
              <w:right w:val="single" w:color="auto" w:sz="4"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职业教育处：</w:t>
            </w:r>
          </w:p>
        </w:tc>
        <w:tc>
          <w:tcPr>
            <w:tcW w:w="4519" w:type="dxa"/>
            <w:tcBorders>
              <w:top w:val="single" w:color="auto" w:sz="4" w:space="0"/>
              <w:left w:val="nil"/>
              <w:bottom w:val="single" w:color="auto" w:sz="4" w:space="0"/>
              <w:right w:val="single" w:color="auto" w:sz="12"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高等教育处：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top w:val="single" w:color="auto" w:sz="4" w:space="0"/>
              <w:left w:val="single" w:color="auto" w:sz="12" w:space="0"/>
              <w:bottom w:val="single" w:color="auto" w:sz="4" w:space="0"/>
              <w:right w:val="single" w:color="auto" w:sz="4"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民办教育处：</w:t>
            </w:r>
          </w:p>
        </w:tc>
        <w:tc>
          <w:tcPr>
            <w:tcW w:w="4519" w:type="dxa"/>
            <w:tcBorders>
              <w:top w:val="single" w:color="auto" w:sz="4" w:space="0"/>
              <w:left w:val="nil"/>
              <w:bottom w:val="single" w:color="auto" w:sz="4" w:space="0"/>
              <w:right w:val="single" w:color="auto" w:sz="12"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国际交流处（港澳台办）：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9" w:type="dxa"/>
            <w:gridSpan w:val="2"/>
            <w:tcBorders>
              <w:top w:val="single" w:color="auto" w:sz="4" w:space="0"/>
              <w:left w:val="single" w:color="auto" w:sz="12" w:space="0"/>
              <w:bottom w:val="single" w:color="auto" w:sz="4" w:space="0"/>
              <w:right w:val="single" w:color="auto" w:sz="4"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信访办：</w:t>
            </w:r>
          </w:p>
        </w:tc>
        <w:tc>
          <w:tcPr>
            <w:tcW w:w="4519" w:type="dxa"/>
            <w:tcBorders>
              <w:top w:val="single" w:color="auto" w:sz="4" w:space="0"/>
              <w:left w:val="nil"/>
              <w:bottom w:val="single" w:color="auto" w:sz="4" w:space="0"/>
              <w:right w:val="single" w:color="auto" w:sz="12"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038" w:type="dxa"/>
            <w:gridSpan w:val="3"/>
            <w:tcBorders>
              <w:top w:val="single" w:color="auto" w:sz="4" w:space="0"/>
              <w:left w:val="single" w:color="auto" w:sz="12" w:space="0"/>
              <w:bottom w:val="single" w:color="auto" w:sz="4" w:space="0"/>
              <w:right w:val="single" w:color="auto" w:sz="12" w:space="0"/>
            </w:tcBorders>
            <w:noWrap w:val="0"/>
            <w:vAlign w:val="center"/>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市教育考试院高招办：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038" w:type="dxa"/>
            <w:gridSpan w:val="3"/>
            <w:tcBorders>
              <w:top w:val="single" w:color="auto" w:sz="4" w:space="0"/>
              <w:left w:val="single" w:color="auto" w:sz="12" w:space="0"/>
              <w:bottom w:val="single" w:color="auto" w:sz="4" w:space="0"/>
              <w:right w:val="single" w:color="auto" w:sz="12" w:space="0"/>
            </w:tcBorders>
            <w:noWrap w:val="0"/>
            <w:vAlign w:val="center"/>
          </w:tcPr>
          <w:p>
            <w:pPr>
              <w:spacing w:before="93" w:beforeLines="30"/>
              <w:rPr>
                <w:rFonts w:ascii="仿宋_GB2312" w:hAnsi="仿宋" w:eastAsia="仿宋_GB2312" w:cs="仿宋"/>
                <w:sz w:val="24"/>
                <w:szCs w:val="24"/>
              </w:rPr>
            </w:pPr>
            <w:r>
              <w:rPr>
                <w:rFonts w:hint="eastAsia" w:ascii="仿宋_GB2312" w:hAnsi="仿宋" w:eastAsia="仿宋_GB2312" w:cs="仿宋"/>
                <w:sz w:val="24"/>
                <w:szCs w:val="24"/>
              </w:rPr>
              <w:t>上海市教育委员会学生处备案受理负责人：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038" w:type="dxa"/>
            <w:gridSpan w:val="3"/>
            <w:tcBorders>
              <w:top w:val="single" w:color="auto" w:sz="4" w:space="0"/>
              <w:left w:val="single" w:color="auto" w:sz="12" w:space="0"/>
              <w:bottom w:val="single" w:color="auto" w:sz="12" w:space="0"/>
              <w:right w:val="single" w:color="auto" w:sz="12" w:space="0"/>
            </w:tcBorders>
            <w:noWrap w:val="0"/>
            <w:vAlign w:val="center"/>
          </w:tcPr>
          <w:p>
            <w:pPr>
              <w:spacing w:before="93" w:beforeLines="30"/>
              <w:rPr>
                <w:rFonts w:ascii="仿宋_GB2312" w:hAnsi="仿宋" w:eastAsia="仿宋_GB2312" w:cs="仿宋"/>
                <w:sz w:val="24"/>
                <w:szCs w:val="24"/>
              </w:rPr>
            </w:pPr>
          </w:p>
          <w:p>
            <w:pPr>
              <w:spacing w:before="93" w:beforeLines="30"/>
              <w:rPr>
                <w:rFonts w:ascii="仿宋_GB2312" w:hAnsi="仿宋" w:eastAsia="仿宋_GB2312" w:cs="仿宋"/>
                <w:sz w:val="24"/>
                <w:szCs w:val="24"/>
              </w:rPr>
            </w:pPr>
            <w:r>
              <w:rPr>
                <w:rFonts w:hint="eastAsia" w:ascii="仿宋_GB2312" w:hAnsi="仿宋" w:eastAsia="仿宋_GB2312" w:cs="仿宋"/>
                <w:sz w:val="24"/>
                <w:szCs w:val="24"/>
              </w:rPr>
              <w:t>上海市教育委员会：</w:t>
            </w:r>
          </w:p>
          <w:p>
            <w:pPr>
              <w:spacing w:before="93" w:beforeLines="30"/>
              <w:rPr>
                <w:rFonts w:ascii="仿宋_GB2312" w:hAnsi="仿宋" w:eastAsia="仿宋_GB2312"/>
                <w:sz w:val="24"/>
                <w:szCs w:val="24"/>
              </w:rPr>
            </w:pPr>
          </w:p>
        </w:tc>
      </w:tr>
    </w:tbl>
    <w:p>
      <w:pPr>
        <w:spacing w:line="560" w:lineRule="exact"/>
        <w:jc w:val="center"/>
        <w:rPr>
          <w:rFonts w:ascii="黑体" w:hAnsi="仿宋" w:eastAsia="黑体"/>
          <w:sz w:val="36"/>
          <w:szCs w:val="36"/>
        </w:rPr>
      </w:pPr>
      <w:r>
        <w:rPr>
          <w:rFonts w:hint="eastAsia" w:ascii="黑体" w:hAnsi="仿宋" w:eastAsia="黑体" w:cs="仿宋"/>
          <w:sz w:val="36"/>
          <w:szCs w:val="36"/>
        </w:rPr>
        <w:t>填  表  说  明</w:t>
      </w:r>
    </w:p>
    <w:p>
      <w:pPr>
        <w:spacing w:line="560" w:lineRule="exact"/>
        <w:rPr>
          <w:rFonts w:ascii="仿宋" w:hAnsi="仿宋"/>
          <w:sz w:val="28"/>
          <w:szCs w:val="28"/>
        </w:rPr>
      </w:pPr>
      <w:r>
        <w:rPr>
          <w:rFonts w:ascii="仿宋" w:hAnsi="仿宋"/>
          <w:sz w:val="28"/>
          <w:szCs w:val="28"/>
        </w:rPr>
        <w:t xml:space="preserve"> </w:t>
      </w:r>
    </w:p>
    <w:p>
      <w:pPr>
        <w:spacing w:line="560" w:lineRule="exact"/>
        <w:ind w:firstLine="600" w:firstLineChars="200"/>
        <w:rPr>
          <w:rFonts w:ascii="仿宋_GB2312" w:hAnsi="仿宋" w:eastAsia="仿宋_GB2312"/>
          <w:sz w:val="30"/>
          <w:szCs w:val="30"/>
        </w:rPr>
      </w:pPr>
      <w:r>
        <w:rPr>
          <w:rFonts w:hint="eastAsia" w:ascii="仿宋_GB2312" w:hAnsi="仿宋" w:eastAsia="仿宋_GB2312" w:cs="仿宋"/>
          <w:sz w:val="30"/>
          <w:szCs w:val="30"/>
        </w:rPr>
        <w:t>一、各高校按《2024年上海市普通高校招生章程核准备案表》样张表格如实填写各项内容，已统一规范的文字表述不可任意修改。如有补充说明，可另用附件并在表中注明。</w:t>
      </w:r>
    </w:p>
    <w:p>
      <w:pPr>
        <w:spacing w:line="560" w:lineRule="exact"/>
        <w:ind w:firstLine="600" w:firstLineChars="200"/>
        <w:rPr>
          <w:rFonts w:ascii="仿宋_GB2312" w:hAnsi="仿宋" w:eastAsia="仿宋_GB2312"/>
          <w:sz w:val="30"/>
          <w:szCs w:val="30"/>
        </w:rPr>
      </w:pPr>
      <w:r>
        <w:rPr>
          <w:rFonts w:hint="eastAsia" w:ascii="仿宋_GB2312" w:hAnsi="仿宋" w:eastAsia="仿宋_GB2312" w:cs="仿宋"/>
          <w:sz w:val="30"/>
          <w:szCs w:val="30"/>
        </w:rPr>
        <w:t>二、附件1中“二、就读校址”可根据校区实际情况表述。如学生在读期间可能涉及更换校区等情况，需要在“十六、其他须知”中注明。</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三、未经教育部批准，高等学校不得擅自规定男女生录取比例。</w:t>
      </w:r>
    </w:p>
    <w:p>
      <w:pPr>
        <w:spacing w:line="560" w:lineRule="exact"/>
        <w:ind w:firstLine="600" w:firstLineChars="200"/>
        <w:rPr>
          <w:rFonts w:ascii="仿宋_GB2312" w:hAnsi="仿宋" w:eastAsia="仿宋_GB2312"/>
          <w:sz w:val="30"/>
          <w:szCs w:val="30"/>
        </w:rPr>
      </w:pPr>
      <w:r>
        <w:rPr>
          <w:rFonts w:hint="eastAsia" w:ascii="仿宋_GB2312" w:hAnsi="仿宋" w:eastAsia="仿宋_GB2312" w:cs="仿宋"/>
          <w:sz w:val="30"/>
          <w:szCs w:val="30"/>
        </w:rPr>
        <w:t>四、附件1中“十一、录取规则”中需说明作为录取依据的总分的组成规则、同分规则、专业安排办法等内容。</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五、附件1中“十二、收费标准”相关内容请注明批文号。</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六、章程涉及文件政策内容须注明文件全称、文号等。</w:t>
      </w:r>
    </w:p>
    <w:p>
      <w:pPr>
        <w:spacing w:line="560" w:lineRule="exact"/>
        <w:ind w:firstLine="600" w:firstLineChars="200"/>
        <w:rPr>
          <w:rFonts w:ascii="仿宋_GB2312" w:hAnsi="仿宋" w:eastAsia="仿宋_GB2312"/>
          <w:sz w:val="30"/>
          <w:szCs w:val="30"/>
        </w:rPr>
      </w:pPr>
      <w:r>
        <w:rPr>
          <w:rFonts w:hint="eastAsia" w:ascii="仿宋_GB2312" w:hAnsi="仿宋" w:eastAsia="仿宋_GB2312" w:cs="仿宋"/>
          <w:sz w:val="30"/>
          <w:szCs w:val="30"/>
        </w:rPr>
        <w:t>七、经核定的招生章程向社会公布，不得擅自更改。</w:t>
      </w:r>
    </w:p>
    <w:p>
      <w:pPr>
        <w:spacing w:line="560" w:lineRule="exact"/>
        <w:rPr>
          <w:rFonts w:ascii="仿宋_GB2312" w:eastAsia="仿宋_GB2312"/>
          <w:sz w:val="24"/>
          <w:szCs w:val="24"/>
        </w:rPr>
      </w:pPr>
      <w:r>
        <w:rPr>
          <w:rFonts w:hint="eastAsia" w:ascii="仿宋_GB2312" w:eastAsia="仿宋_GB2312"/>
          <w:sz w:val="24"/>
          <w:szCs w:val="24"/>
        </w:rPr>
        <w:t xml:space="preserve"> </w:t>
      </w:r>
    </w:p>
    <w:p>
      <w:pPr>
        <w:spacing w:line="400" w:lineRule="exact"/>
        <w:rPr>
          <w:rFonts w:ascii="黑体" w:hAnsi="仿宋" w:eastAsia="黑体" w:cs="仿宋"/>
          <w:sz w:val="32"/>
          <w:szCs w:val="32"/>
        </w:rPr>
      </w:pPr>
      <w:r>
        <w:rPr>
          <w:rFonts w:ascii="仿宋" w:hAnsi="仿宋"/>
          <w:sz w:val="30"/>
          <w:szCs w:val="30"/>
        </w:rPr>
        <w:br w:type="page"/>
      </w:r>
      <w:r>
        <w:rPr>
          <w:rFonts w:hint="eastAsia" w:ascii="黑体" w:hAnsi="仿宋" w:eastAsia="黑体" w:cs="仿宋"/>
          <w:sz w:val="32"/>
          <w:szCs w:val="32"/>
        </w:rPr>
        <w:t>附件3</w:t>
      </w:r>
    </w:p>
    <w:p>
      <w:pPr>
        <w:spacing w:line="400" w:lineRule="exact"/>
        <w:rPr>
          <w:rFonts w:ascii="黑体" w:hAnsi="仿宋" w:eastAsia="黑体"/>
          <w:sz w:val="32"/>
          <w:szCs w:val="32"/>
        </w:rPr>
      </w:pPr>
    </w:p>
    <w:p>
      <w:pPr>
        <w:spacing w:line="520" w:lineRule="exact"/>
        <w:jc w:val="center"/>
        <w:rPr>
          <w:rFonts w:ascii="方正小标宋简体" w:hAnsi="仿宋" w:eastAsia="方正小标宋简体" w:cs="仿宋"/>
          <w:sz w:val="38"/>
          <w:szCs w:val="38"/>
        </w:rPr>
      </w:pPr>
      <w:r>
        <w:rPr>
          <w:rFonts w:hint="eastAsia" w:ascii="方正小标宋简体" w:hAnsi="仿宋" w:eastAsia="方正小标宋简体" w:cs="仿宋"/>
          <w:sz w:val="38"/>
          <w:szCs w:val="38"/>
        </w:rPr>
        <w:t>2024年上海市普通高等学校招生录取加分表</w:t>
      </w:r>
    </w:p>
    <w:tbl>
      <w:tblPr>
        <w:tblStyle w:val="5"/>
        <w:tblW w:w="87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3"/>
        <w:gridCol w:w="540"/>
        <w:gridCol w:w="1620"/>
        <w:gridCol w:w="3434"/>
        <w:gridCol w:w="1517"/>
        <w:gridCol w:w="13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kern w:val="0"/>
                <w:szCs w:val="21"/>
              </w:rPr>
            </w:pPr>
            <w:r>
              <w:rPr>
                <w:rFonts w:hint="eastAsia" w:ascii="仿宋_GB2312" w:hAnsi="宋体" w:eastAsia="仿宋_GB2312" w:cs="仿宋"/>
                <w:kern w:val="0"/>
              </w:rPr>
              <w:t>项目</w:t>
            </w:r>
          </w:p>
        </w:tc>
        <w:tc>
          <w:tcPr>
            <w:tcW w:w="5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hAnsi="宋体" w:eastAsia="仿宋_GB2312"/>
                <w:kern w:val="0"/>
                <w:szCs w:val="21"/>
              </w:rPr>
            </w:pPr>
            <w:r>
              <w:rPr>
                <w:rFonts w:hint="eastAsia" w:ascii="仿宋_GB2312" w:hAnsi="宋体" w:eastAsia="仿宋_GB2312" w:cs="仿宋"/>
                <w:kern w:val="0"/>
              </w:rPr>
              <w:t>编号</w:t>
            </w:r>
          </w:p>
        </w:tc>
        <w:tc>
          <w:tcPr>
            <w:tcW w:w="162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hAnsi="宋体" w:eastAsia="仿宋_GB2312"/>
                <w:kern w:val="0"/>
                <w:szCs w:val="21"/>
              </w:rPr>
            </w:pPr>
            <w:r>
              <w:rPr>
                <w:rFonts w:hint="eastAsia" w:ascii="仿宋_GB2312" w:hAnsi="宋体" w:eastAsia="仿宋_GB2312" w:cs="仿宋"/>
                <w:kern w:val="0"/>
              </w:rPr>
              <w:t>考生条件</w:t>
            </w:r>
          </w:p>
        </w:tc>
        <w:tc>
          <w:tcPr>
            <w:tcW w:w="3434" w:type="dxa"/>
            <w:tcBorders>
              <w:top w:val="single" w:color="auto" w:sz="4" w:space="0"/>
              <w:left w:val="nil"/>
              <w:bottom w:val="single" w:color="auto" w:sz="4" w:space="0"/>
              <w:right w:val="single" w:color="auto" w:sz="4" w:space="0"/>
            </w:tcBorders>
            <w:noWrap w:val="0"/>
            <w:vAlign w:val="center"/>
          </w:tcPr>
          <w:p>
            <w:pPr>
              <w:spacing w:line="320" w:lineRule="exact"/>
              <w:ind w:firstLine="4" w:firstLineChars="2"/>
              <w:jc w:val="center"/>
              <w:rPr>
                <w:rFonts w:ascii="仿宋_GB2312" w:hAnsi="宋体" w:eastAsia="仿宋_GB2312"/>
                <w:kern w:val="0"/>
                <w:szCs w:val="21"/>
              </w:rPr>
            </w:pPr>
            <w:r>
              <w:rPr>
                <w:rFonts w:hint="eastAsia" w:ascii="仿宋_GB2312" w:hAnsi="宋体" w:eastAsia="仿宋_GB2312" w:cs="仿宋"/>
                <w:kern w:val="0"/>
              </w:rPr>
              <w:t>具体要求</w:t>
            </w:r>
          </w:p>
        </w:tc>
        <w:tc>
          <w:tcPr>
            <w:tcW w:w="1517"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hAnsi="宋体" w:eastAsia="仿宋_GB2312"/>
                <w:kern w:val="0"/>
                <w:szCs w:val="21"/>
              </w:rPr>
            </w:pPr>
            <w:r>
              <w:rPr>
                <w:rFonts w:hint="eastAsia" w:ascii="仿宋_GB2312" w:hAnsi="宋体" w:eastAsia="仿宋_GB2312" w:cs="仿宋"/>
                <w:kern w:val="0"/>
              </w:rPr>
              <w:t>加分</w:t>
            </w:r>
          </w:p>
        </w:tc>
        <w:tc>
          <w:tcPr>
            <w:tcW w:w="1333"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hAnsi="宋体" w:eastAsia="仿宋_GB2312"/>
                <w:kern w:val="0"/>
                <w:szCs w:val="21"/>
              </w:rPr>
            </w:pPr>
            <w:r>
              <w:rPr>
                <w:rFonts w:hint="eastAsia" w:ascii="仿宋_GB2312" w:hAnsi="宋体" w:eastAsia="仿宋_GB2312" w:cs="仿宋"/>
                <w:kern w:val="0"/>
              </w:rPr>
              <w:t>证明单位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kern w:val="0"/>
                <w:szCs w:val="21"/>
              </w:rPr>
            </w:pPr>
            <w:r>
              <w:rPr>
                <w:rFonts w:hint="eastAsia" w:ascii="仿宋_GB2312" w:hAnsi="宋体" w:eastAsia="仿宋_GB2312" w:cs="仿宋"/>
                <w:kern w:val="0"/>
              </w:rPr>
              <w:t>政</w:t>
            </w:r>
          </w:p>
          <w:p>
            <w:pPr>
              <w:spacing w:line="320" w:lineRule="exact"/>
              <w:jc w:val="center"/>
              <w:rPr>
                <w:rFonts w:ascii="仿宋_GB2312" w:hAnsi="宋体" w:eastAsia="仿宋_GB2312"/>
                <w:kern w:val="0"/>
              </w:rPr>
            </w:pPr>
          </w:p>
          <w:p>
            <w:pPr>
              <w:spacing w:line="320" w:lineRule="exact"/>
              <w:jc w:val="center"/>
              <w:rPr>
                <w:rFonts w:ascii="仿宋_GB2312" w:hAnsi="宋体" w:eastAsia="仿宋_GB2312"/>
                <w:kern w:val="0"/>
              </w:rPr>
            </w:pPr>
            <w:r>
              <w:rPr>
                <w:rFonts w:hint="eastAsia" w:ascii="仿宋_GB2312" w:hAnsi="宋体" w:eastAsia="仿宋_GB2312" w:cs="仿宋"/>
                <w:kern w:val="0"/>
              </w:rPr>
              <w:t>策</w:t>
            </w:r>
          </w:p>
          <w:p>
            <w:pPr>
              <w:spacing w:line="320" w:lineRule="exact"/>
              <w:jc w:val="center"/>
              <w:rPr>
                <w:rFonts w:ascii="仿宋_GB2312" w:hAnsi="宋体" w:eastAsia="仿宋_GB2312"/>
                <w:kern w:val="0"/>
              </w:rPr>
            </w:pPr>
          </w:p>
          <w:p>
            <w:pPr>
              <w:spacing w:line="320" w:lineRule="exact"/>
              <w:jc w:val="center"/>
              <w:rPr>
                <w:rFonts w:ascii="仿宋_GB2312" w:hAnsi="宋体" w:eastAsia="仿宋_GB2312"/>
                <w:kern w:val="0"/>
              </w:rPr>
            </w:pPr>
            <w:r>
              <w:rPr>
                <w:rFonts w:hint="eastAsia" w:ascii="仿宋_GB2312" w:hAnsi="宋体" w:eastAsia="仿宋_GB2312" w:cs="仿宋"/>
                <w:kern w:val="0"/>
              </w:rPr>
              <w:t>照</w:t>
            </w:r>
          </w:p>
          <w:p>
            <w:pPr>
              <w:spacing w:line="320" w:lineRule="exact"/>
              <w:jc w:val="center"/>
              <w:rPr>
                <w:rFonts w:ascii="仿宋_GB2312" w:hAnsi="宋体" w:eastAsia="仿宋_GB2312"/>
                <w:kern w:val="0"/>
              </w:rPr>
            </w:pPr>
          </w:p>
          <w:p>
            <w:pPr>
              <w:spacing w:line="320" w:lineRule="exact"/>
              <w:jc w:val="center"/>
              <w:rPr>
                <w:rFonts w:ascii="仿宋_GB2312" w:hAnsi="宋体" w:eastAsia="仿宋_GB2312"/>
                <w:kern w:val="0"/>
              </w:rPr>
            </w:pPr>
            <w:r>
              <w:rPr>
                <w:rFonts w:hint="eastAsia" w:ascii="仿宋_GB2312" w:hAnsi="宋体" w:eastAsia="仿宋_GB2312" w:cs="仿宋"/>
                <w:kern w:val="0"/>
              </w:rPr>
              <w:t>顾</w:t>
            </w:r>
          </w:p>
          <w:p>
            <w:pPr>
              <w:spacing w:line="320" w:lineRule="exact"/>
              <w:jc w:val="center"/>
              <w:rPr>
                <w:rFonts w:ascii="仿宋_GB2312" w:hAnsi="宋体" w:eastAsia="仿宋_GB2312"/>
                <w:kern w:val="0"/>
              </w:rPr>
            </w:pPr>
          </w:p>
          <w:p>
            <w:pPr>
              <w:spacing w:line="320" w:lineRule="exact"/>
              <w:jc w:val="center"/>
              <w:rPr>
                <w:rFonts w:ascii="仿宋_GB2312" w:hAnsi="宋体" w:eastAsia="仿宋_GB2312"/>
                <w:kern w:val="0"/>
              </w:rPr>
            </w:pPr>
            <w:r>
              <w:rPr>
                <w:rFonts w:hint="eastAsia" w:ascii="仿宋_GB2312" w:hAnsi="宋体" w:eastAsia="仿宋_GB2312" w:cs="仿宋"/>
                <w:kern w:val="0"/>
              </w:rPr>
              <w:t>对</w:t>
            </w:r>
          </w:p>
          <w:p>
            <w:pPr>
              <w:spacing w:line="320" w:lineRule="exact"/>
              <w:jc w:val="center"/>
              <w:rPr>
                <w:rFonts w:ascii="仿宋_GB2312" w:hAnsi="宋体" w:eastAsia="仿宋_GB2312"/>
                <w:kern w:val="0"/>
              </w:rPr>
            </w:pPr>
          </w:p>
          <w:p>
            <w:pPr>
              <w:spacing w:line="320" w:lineRule="exact"/>
              <w:jc w:val="center"/>
              <w:rPr>
                <w:rFonts w:ascii="仿宋_GB2312" w:hAnsi="宋体" w:eastAsia="仿宋_GB2312"/>
                <w:kern w:val="0"/>
                <w:szCs w:val="21"/>
              </w:rPr>
            </w:pPr>
            <w:r>
              <w:rPr>
                <w:rFonts w:hint="eastAsia" w:ascii="仿宋_GB2312" w:hAnsi="宋体" w:eastAsia="仿宋_GB2312" w:cs="仿宋"/>
                <w:kern w:val="0"/>
              </w:rPr>
              <w:t>象</w:t>
            </w:r>
          </w:p>
        </w:tc>
        <w:tc>
          <w:tcPr>
            <w:tcW w:w="5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hAnsi="宋体" w:eastAsia="仿宋_GB2312" w:cs="仿宋"/>
                <w:kern w:val="0"/>
                <w:szCs w:val="21"/>
              </w:rPr>
            </w:pPr>
            <w:r>
              <w:rPr>
                <w:rFonts w:hint="eastAsia" w:ascii="仿宋_GB2312" w:hAnsi="宋体" w:eastAsia="仿宋_GB2312" w:cs="仿宋"/>
                <w:kern w:val="0"/>
              </w:rPr>
              <w:t>1</w:t>
            </w:r>
          </w:p>
        </w:tc>
        <w:tc>
          <w:tcPr>
            <w:tcW w:w="1620"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烈士子女</w:t>
            </w:r>
          </w:p>
        </w:tc>
        <w:tc>
          <w:tcPr>
            <w:tcW w:w="3434" w:type="dxa"/>
            <w:tcBorders>
              <w:top w:val="single" w:color="auto" w:sz="4" w:space="0"/>
              <w:left w:val="nil"/>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b/>
                <w:bCs/>
                <w:kern w:val="0"/>
                <w:szCs w:val="21"/>
              </w:rPr>
            </w:pPr>
          </w:p>
        </w:tc>
        <w:tc>
          <w:tcPr>
            <w:tcW w:w="1517"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20分，由报考学校或区招考机构审核</w:t>
            </w:r>
          </w:p>
        </w:tc>
        <w:tc>
          <w:tcPr>
            <w:tcW w:w="1333"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spacing w:val="-8"/>
                <w:kern w:val="0"/>
                <w:szCs w:val="21"/>
              </w:rPr>
            </w:pPr>
            <w:r>
              <w:rPr>
                <w:rFonts w:hint="eastAsia" w:ascii="仿宋_GB2312" w:hAnsi="宋体" w:eastAsia="仿宋_GB2312" w:cs="仿宋"/>
                <w:spacing w:val="-8"/>
                <w:kern w:val="0"/>
              </w:rPr>
              <w:t>户口所在区退役军人事务部门证明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Cs w:val="21"/>
              </w:rPr>
            </w:pPr>
          </w:p>
        </w:tc>
        <w:tc>
          <w:tcPr>
            <w:tcW w:w="5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hAnsi="宋体" w:eastAsia="仿宋_GB2312" w:cs="仿宋"/>
                <w:kern w:val="0"/>
                <w:szCs w:val="21"/>
              </w:rPr>
            </w:pPr>
            <w:r>
              <w:rPr>
                <w:rFonts w:hint="eastAsia" w:ascii="仿宋_GB2312" w:hAnsi="宋体" w:eastAsia="仿宋_GB2312" w:cs="仿宋"/>
                <w:kern w:val="0"/>
              </w:rPr>
              <w:t>2</w:t>
            </w:r>
          </w:p>
        </w:tc>
        <w:tc>
          <w:tcPr>
            <w:tcW w:w="1620"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少数民族</w:t>
            </w:r>
          </w:p>
        </w:tc>
        <w:tc>
          <w:tcPr>
            <w:tcW w:w="3434" w:type="dxa"/>
            <w:tcBorders>
              <w:top w:val="single" w:color="auto" w:sz="4" w:space="0"/>
              <w:left w:val="nil"/>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kern w:val="0"/>
                <w:szCs w:val="21"/>
              </w:rPr>
            </w:pPr>
            <w:r>
              <w:rPr>
                <w:rFonts w:hint="eastAsia" w:ascii="仿宋_GB2312" w:hAnsi="宋体" w:eastAsia="仿宋_GB2312" w:cs="仿宋"/>
                <w:kern w:val="0"/>
              </w:rPr>
              <w:t>高中阶段从边疆、山区、牧区、少数民族聚集地区转学到本市的少数民族考生</w:t>
            </w:r>
          </w:p>
        </w:tc>
        <w:tc>
          <w:tcPr>
            <w:tcW w:w="1517"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5分，由报考学校或区招考机构审核</w:t>
            </w:r>
          </w:p>
        </w:tc>
        <w:tc>
          <w:tcPr>
            <w:tcW w:w="1333"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户口簿和身份证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Cs w:val="21"/>
              </w:rPr>
            </w:pPr>
          </w:p>
        </w:tc>
        <w:tc>
          <w:tcPr>
            <w:tcW w:w="5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hAnsi="宋体" w:eastAsia="仿宋_GB2312" w:cs="仿宋"/>
                <w:kern w:val="0"/>
                <w:szCs w:val="21"/>
              </w:rPr>
            </w:pPr>
            <w:r>
              <w:rPr>
                <w:rFonts w:hint="eastAsia" w:ascii="仿宋_GB2312" w:hAnsi="宋体" w:eastAsia="仿宋_GB2312" w:cs="仿宋"/>
                <w:kern w:val="0"/>
              </w:rPr>
              <w:t>3</w:t>
            </w:r>
          </w:p>
        </w:tc>
        <w:tc>
          <w:tcPr>
            <w:tcW w:w="1620"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归侨、归侨子女</w:t>
            </w:r>
          </w:p>
        </w:tc>
        <w:tc>
          <w:tcPr>
            <w:tcW w:w="3434" w:type="dxa"/>
            <w:tcBorders>
              <w:top w:val="single" w:color="auto" w:sz="4" w:space="0"/>
              <w:left w:val="nil"/>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b/>
                <w:bCs/>
                <w:kern w:val="0"/>
                <w:szCs w:val="21"/>
              </w:rPr>
            </w:pPr>
          </w:p>
        </w:tc>
        <w:tc>
          <w:tcPr>
            <w:tcW w:w="1517"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5分，由报考学校或区招考机构审核</w:t>
            </w:r>
          </w:p>
        </w:tc>
        <w:tc>
          <w:tcPr>
            <w:tcW w:w="1333"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上海市侨办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Cs w:val="21"/>
              </w:rPr>
            </w:pPr>
          </w:p>
        </w:tc>
        <w:tc>
          <w:tcPr>
            <w:tcW w:w="5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hAnsi="宋体" w:eastAsia="仿宋_GB2312" w:cs="仿宋"/>
                <w:kern w:val="0"/>
                <w:szCs w:val="21"/>
              </w:rPr>
            </w:pPr>
            <w:r>
              <w:rPr>
                <w:rFonts w:hint="eastAsia" w:ascii="仿宋_GB2312" w:hAnsi="宋体" w:eastAsia="仿宋_GB2312" w:cs="仿宋"/>
                <w:kern w:val="0"/>
              </w:rPr>
              <w:t>4</w:t>
            </w:r>
          </w:p>
        </w:tc>
        <w:tc>
          <w:tcPr>
            <w:tcW w:w="1620"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华侨子女</w:t>
            </w:r>
          </w:p>
        </w:tc>
        <w:tc>
          <w:tcPr>
            <w:tcW w:w="3434" w:type="dxa"/>
            <w:tcBorders>
              <w:top w:val="single" w:color="auto" w:sz="4" w:space="0"/>
              <w:left w:val="nil"/>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b/>
                <w:bCs/>
                <w:kern w:val="0"/>
                <w:szCs w:val="21"/>
              </w:rPr>
            </w:pPr>
          </w:p>
        </w:tc>
        <w:tc>
          <w:tcPr>
            <w:tcW w:w="1517"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5分，由报考学校或区招考机构审核</w:t>
            </w:r>
          </w:p>
        </w:tc>
        <w:tc>
          <w:tcPr>
            <w:tcW w:w="1333"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户口所在区侨办证明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Cs w:val="21"/>
              </w:rPr>
            </w:pPr>
          </w:p>
        </w:tc>
        <w:tc>
          <w:tcPr>
            <w:tcW w:w="5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hAnsi="宋体" w:eastAsia="仿宋_GB2312" w:cs="仿宋"/>
                <w:kern w:val="0"/>
                <w:szCs w:val="21"/>
              </w:rPr>
            </w:pPr>
            <w:r>
              <w:rPr>
                <w:rFonts w:hint="eastAsia" w:ascii="仿宋_GB2312" w:hAnsi="宋体" w:eastAsia="仿宋_GB2312" w:cs="仿宋"/>
                <w:kern w:val="0"/>
              </w:rPr>
              <w:t>5</w:t>
            </w:r>
          </w:p>
        </w:tc>
        <w:tc>
          <w:tcPr>
            <w:tcW w:w="1620"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台湾省籍（含台湾户籍）考生</w:t>
            </w:r>
          </w:p>
        </w:tc>
        <w:tc>
          <w:tcPr>
            <w:tcW w:w="3434" w:type="dxa"/>
            <w:tcBorders>
              <w:top w:val="single" w:color="auto" w:sz="4" w:space="0"/>
              <w:left w:val="nil"/>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b/>
                <w:bCs/>
                <w:kern w:val="0"/>
                <w:szCs w:val="21"/>
              </w:rPr>
            </w:pPr>
          </w:p>
        </w:tc>
        <w:tc>
          <w:tcPr>
            <w:tcW w:w="1517"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5分，由报考学校或区招考机构审核</w:t>
            </w:r>
          </w:p>
        </w:tc>
        <w:tc>
          <w:tcPr>
            <w:tcW w:w="1333"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上海市台联会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Cs w:val="21"/>
              </w:rPr>
            </w:pPr>
          </w:p>
        </w:tc>
        <w:tc>
          <w:tcPr>
            <w:tcW w:w="540" w:type="dxa"/>
            <w:vMerge w:val="restart"/>
            <w:tcBorders>
              <w:top w:val="nil"/>
              <w:left w:val="nil"/>
              <w:bottom w:val="single" w:color="auto" w:sz="4" w:space="0"/>
              <w:right w:val="single" w:color="auto" w:sz="4" w:space="0"/>
            </w:tcBorders>
            <w:noWrap w:val="0"/>
            <w:vAlign w:val="center"/>
          </w:tcPr>
          <w:p>
            <w:pPr>
              <w:spacing w:line="320" w:lineRule="exact"/>
              <w:jc w:val="center"/>
              <w:rPr>
                <w:rFonts w:ascii="仿宋_GB2312" w:hAnsi="宋体" w:eastAsia="仿宋_GB2312" w:cs="仿宋"/>
                <w:color w:val="000000"/>
                <w:kern w:val="0"/>
                <w:szCs w:val="21"/>
              </w:rPr>
            </w:pPr>
            <w:r>
              <w:rPr>
                <w:rFonts w:hint="eastAsia" w:ascii="仿宋_GB2312" w:hAnsi="宋体" w:eastAsia="仿宋_GB2312" w:cs="仿宋"/>
                <w:color w:val="000000"/>
                <w:kern w:val="0"/>
              </w:rPr>
              <w:t>6</w:t>
            </w:r>
          </w:p>
        </w:tc>
        <w:tc>
          <w:tcPr>
            <w:tcW w:w="1620"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自主就业的退役士兵</w:t>
            </w:r>
          </w:p>
        </w:tc>
        <w:tc>
          <w:tcPr>
            <w:tcW w:w="3434" w:type="dxa"/>
            <w:tcBorders>
              <w:top w:val="single" w:color="auto" w:sz="4" w:space="0"/>
              <w:left w:val="nil"/>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b/>
                <w:bCs/>
                <w:kern w:val="0"/>
                <w:szCs w:val="21"/>
              </w:rPr>
            </w:pPr>
          </w:p>
        </w:tc>
        <w:tc>
          <w:tcPr>
            <w:tcW w:w="1517"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10分，由报考学校或区招考机构审核</w:t>
            </w:r>
          </w:p>
        </w:tc>
        <w:tc>
          <w:tcPr>
            <w:tcW w:w="1333" w:type="dxa"/>
            <w:vMerge w:val="restart"/>
            <w:tcBorders>
              <w:top w:val="nil"/>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凭退伍证书、立功受奖证书、安置部门证明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3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Cs w:val="21"/>
              </w:rPr>
            </w:pPr>
          </w:p>
        </w:tc>
        <w:tc>
          <w:tcPr>
            <w:tcW w:w="540"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仿宋"/>
                <w:color w:val="000000"/>
                <w:kern w:val="0"/>
                <w:szCs w:val="21"/>
              </w:rPr>
            </w:pPr>
          </w:p>
        </w:tc>
        <w:tc>
          <w:tcPr>
            <w:tcW w:w="1620"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仿宋_GB2312" w:hAnsi="宋体" w:eastAsia="仿宋_GB2312"/>
                <w:kern w:val="0"/>
                <w:szCs w:val="21"/>
              </w:rPr>
            </w:pPr>
            <w:r>
              <w:rPr>
                <w:rFonts w:hint="eastAsia" w:ascii="仿宋_GB2312" w:hAnsi="宋体" w:eastAsia="仿宋_GB2312" w:cs="仿宋"/>
                <w:kern w:val="0"/>
              </w:rPr>
              <w:t>退役军人</w:t>
            </w:r>
          </w:p>
        </w:tc>
        <w:tc>
          <w:tcPr>
            <w:tcW w:w="3434" w:type="dxa"/>
            <w:tcBorders>
              <w:top w:val="single" w:color="auto" w:sz="4" w:space="0"/>
              <w:left w:val="nil"/>
              <w:bottom w:val="single" w:color="auto" w:sz="4" w:space="0"/>
              <w:right w:val="single" w:color="auto" w:sz="4" w:space="0"/>
            </w:tcBorders>
            <w:noWrap w:val="0"/>
            <w:vAlign w:val="center"/>
          </w:tcPr>
          <w:p>
            <w:pPr>
              <w:spacing w:line="320" w:lineRule="exact"/>
              <w:ind w:firstLine="4" w:firstLineChars="2"/>
              <w:rPr>
                <w:rFonts w:ascii="仿宋_GB2312" w:hAnsi="宋体" w:eastAsia="仿宋_GB2312"/>
                <w:kern w:val="0"/>
                <w:szCs w:val="21"/>
              </w:rPr>
            </w:pPr>
            <w:r>
              <w:rPr>
                <w:rFonts w:hint="eastAsia" w:ascii="仿宋_GB2312" w:hAnsi="宋体" w:eastAsia="仿宋_GB2312" w:cs="仿宋"/>
                <w:kern w:val="0"/>
              </w:rPr>
              <w:t>服役期间荣立二等功（含）以上或被战区（原大军区）（含）以上单位授予荣誉称号</w:t>
            </w:r>
          </w:p>
        </w:tc>
        <w:tc>
          <w:tcPr>
            <w:tcW w:w="1517" w:type="dxa"/>
            <w:tcBorders>
              <w:top w:val="single" w:color="auto" w:sz="4" w:space="0"/>
              <w:left w:val="nil"/>
              <w:bottom w:val="single" w:color="auto" w:sz="4" w:space="0"/>
              <w:right w:val="single" w:color="auto" w:sz="4" w:space="0"/>
            </w:tcBorders>
            <w:noWrap w:val="0"/>
            <w:vAlign w:val="center"/>
          </w:tcPr>
          <w:p>
            <w:pPr>
              <w:spacing w:line="320" w:lineRule="exact"/>
              <w:rPr>
                <w:rFonts w:ascii="仿宋_GB2312" w:hAnsi="宋体" w:eastAsia="仿宋_GB2312"/>
                <w:kern w:val="0"/>
                <w:szCs w:val="21"/>
              </w:rPr>
            </w:pPr>
            <w:r>
              <w:rPr>
                <w:rFonts w:hint="eastAsia" w:ascii="仿宋_GB2312" w:hAnsi="宋体" w:eastAsia="仿宋_GB2312" w:cs="仿宋"/>
                <w:kern w:val="0"/>
              </w:rPr>
              <w:t>20分，由报考学校或区招考机构审核</w:t>
            </w:r>
          </w:p>
        </w:tc>
        <w:tc>
          <w:tcPr>
            <w:tcW w:w="1333"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Cs w:val="21"/>
              </w:rPr>
            </w:pPr>
          </w:p>
        </w:tc>
      </w:tr>
    </w:tbl>
    <w:p>
      <w:pPr>
        <w:spacing w:line="220" w:lineRule="exact"/>
        <w:ind w:left="67" w:leftChars="-201" w:hanging="489" w:hangingChars="233"/>
        <w:rPr>
          <w:rFonts w:ascii="仿宋_GB2312" w:hAnsi="宋体" w:eastAsia="仿宋_GB2312" w:cs="仿宋"/>
          <w:kern w:val="0"/>
          <w:szCs w:val="21"/>
        </w:rPr>
      </w:pPr>
      <w:r>
        <w:rPr>
          <w:rFonts w:hint="eastAsia" w:ascii="仿宋_GB2312" w:hAnsi="宋体" w:eastAsia="仿宋_GB2312" w:cs="仿宋"/>
          <w:kern w:val="0"/>
        </w:rPr>
        <w:t xml:space="preserve"> </w:t>
      </w:r>
    </w:p>
    <w:p>
      <w:pPr>
        <w:spacing w:line="380" w:lineRule="exact"/>
        <w:ind w:left="17" w:firstLine="105" w:firstLineChars="50"/>
        <w:rPr>
          <w:rFonts w:ascii="仿宋_GB2312" w:hAnsi="宋体" w:eastAsia="仿宋_GB2312"/>
          <w:kern w:val="0"/>
        </w:rPr>
      </w:pPr>
      <w:r>
        <w:rPr>
          <w:rFonts w:hint="eastAsia" w:ascii="仿宋_GB2312" w:hAnsi="宋体" w:eastAsia="仿宋_GB2312" w:cs="仿宋"/>
          <w:kern w:val="0"/>
        </w:rPr>
        <w:t>说明：1.以上加分项目不累加累计。</w:t>
      </w:r>
    </w:p>
    <w:p>
      <w:pPr>
        <w:spacing w:line="380" w:lineRule="exact"/>
        <w:ind w:left="105" w:leftChars="50" w:firstLine="609" w:firstLineChars="290"/>
        <w:rPr>
          <w:rFonts w:ascii="仿宋_GB2312" w:hAnsi="宋体" w:eastAsia="仿宋_GB2312" w:cs="仿宋"/>
          <w:kern w:val="0"/>
        </w:rPr>
      </w:pPr>
      <w:r>
        <w:rPr>
          <w:rFonts w:hint="eastAsia" w:ascii="仿宋_GB2312" w:hAnsi="宋体" w:eastAsia="仿宋_GB2312" w:cs="仿宋"/>
          <w:kern w:val="0"/>
        </w:rPr>
        <w:t xml:space="preserve"> 2.以上加分项目只适用全国统考招生阶段。</w:t>
      </w:r>
    </w:p>
    <w:p>
      <w:pPr>
        <w:spacing w:line="380" w:lineRule="exact"/>
        <w:ind w:left="105" w:leftChars="50" w:firstLine="617" w:firstLineChars="294"/>
        <w:rPr>
          <w:rFonts w:ascii="仿宋_GB2312" w:hAnsi="宋体" w:eastAsia="仿宋_GB2312" w:cs="仿宋"/>
          <w:kern w:val="0"/>
        </w:rPr>
      </w:pPr>
      <w:r>
        <w:rPr>
          <w:rFonts w:hint="eastAsia" w:ascii="仿宋_GB2312" w:hAnsi="宋体" w:eastAsia="仿宋_GB2312" w:cs="仿宋"/>
          <w:kern w:val="0"/>
        </w:rPr>
        <w:t xml:space="preserve"> 3.以上加分项目的受理截止日期为2024年5月24日，逾期不予办理。</w:t>
      </w:r>
    </w:p>
    <w:p>
      <w:pPr>
        <w:spacing w:line="380" w:lineRule="exact"/>
        <w:ind w:left="1037" w:leftChars="394" w:hanging="210" w:hangingChars="100"/>
        <w:rPr>
          <w:rFonts w:hint="eastAsia" w:ascii="仿宋_GB2312" w:hAnsi="宋体" w:eastAsia="仿宋_GB2312" w:cs="仿宋"/>
          <w:kern w:val="0"/>
        </w:rPr>
      </w:pPr>
      <w:r>
        <w:rPr>
          <w:rFonts w:hint="eastAsia" w:ascii="仿宋_GB2312" w:hAnsi="宋体" w:eastAsia="仿宋_GB2312" w:cs="仿宋"/>
          <w:kern w:val="0"/>
        </w:rPr>
        <w:t>4.以上加分项目不用于高校不安排分省招生计划的艺术类专业、高水平运动队、高校专项计划等招生项目。</w:t>
      </w:r>
    </w:p>
    <w:p>
      <w:pPr>
        <w:spacing w:line="380" w:lineRule="exact"/>
        <w:rPr>
          <w:rFonts w:ascii="仿宋_GB2312" w:hAnsi="宋体" w:eastAsia="仿宋_GB2312" w:cs="仿宋"/>
          <w:kern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C40619"/>
    <w:multiLevelType w:val="singleLevel"/>
    <w:tmpl w:val="B6C40619"/>
    <w:lvl w:ilvl="0" w:tentative="0">
      <w:start w:val="1"/>
      <w:numFmt w:val="chineseCounting"/>
      <w:pStyle w:val="2"/>
      <w:suff w:val="nothing"/>
      <w:lvlText w:val="（%1）"/>
      <w:lvlJc w:val="left"/>
      <w:pPr>
        <w:ind w:left="0" w:firstLine="420"/>
      </w:pPr>
      <w:rPr>
        <w:rFonts w:hint="eastAsia"/>
      </w:rPr>
    </w:lvl>
  </w:abstractNum>
  <w:abstractNum w:abstractNumId="1">
    <w:nsid w:val="6EB0FC0A"/>
    <w:multiLevelType w:val="singleLevel"/>
    <w:tmpl w:val="6EB0FC0A"/>
    <w:lvl w:ilvl="0" w:tentative="0">
      <w:start w:val="1"/>
      <w:numFmt w:val="decimal"/>
      <w:pStyle w:val="3"/>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mZiYTAzZTEyODBhMWU0ZTA2NTRjZjIxOWNiMWQifQ=="/>
  </w:docVars>
  <w:rsids>
    <w:rsidRoot w:val="040E7BEE"/>
    <w:rsid w:val="040E7BEE"/>
    <w:rsid w:val="0C3901C1"/>
    <w:rsid w:val="0D306AF8"/>
    <w:rsid w:val="249C572D"/>
    <w:rsid w:val="2BDB2FAA"/>
    <w:rsid w:val="51EC35AD"/>
    <w:rsid w:val="6A610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7"/>
    <w:semiHidden/>
    <w:unhideWhenUsed/>
    <w:qFormat/>
    <w:uiPriority w:val="0"/>
    <w:pPr>
      <w:keepNext/>
      <w:keepLines/>
      <w:numPr>
        <w:ilvl w:val="0"/>
        <w:numId w:val="1"/>
      </w:numPr>
      <w:spacing w:before="260" w:after="260" w:line="416" w:lineRule="auto"/>
      <w:jc w:val="left"/>
      <w:outlineLvl w:val="1"/>
    </w:pPr>
    <w:rPr>
      <w:rFonts w:eastAsia="仿宋" w:asciiTheme="majorAscii" w:hAnsiTheme="majorAscii" w:cstheme="majorBidi"/>
      <w:b/>
      <w:bCs/>
      <w:sz w:val="32"/>
      <w:szCs w:val="32"/>
      <w14:ligatures w14:val="standardContextual"/>
    </w:rPr>
  </w:style>
  <w:style w:type="paragraph" w:styleId="3">
    <w:name w:val="heading 3"/>
    <w:basedOn w:val="1"/>
    <w:next w:val="1"/>
    <w:link w:val="8"/>
    <w:autoRedefine/>
    <w:semiHidden/>
    <w:unhideWhenUsed/>
    <w:qFormat/>
    <w:uiPriority w:val="0"/>
    <w:pPr>
      <w:keepNext/>
      <w:keepLines/>
      <w:numPr>
        <w:ilvl w:val="0"/>
        <w:numId w:val="2"/>
      </w:numPr>
      <w:spacing w:before="260" w:after="260" w:line="416" w:lineRule="auto"/>
      <w:outlineLvl w:val="2"/>
    </w:pPr>
    <w:rPr>
      <w:rFonts w:eastAsia="仿宋" w:asciiTheme="minorAscii" w:hAnsiTheme="minorAscii"/>
      <w:b/>
      <w:bCs/>
      <w:sz w:val="30"/>
      <w:szCs w:val="32"/>
      <w14:ligatures w14:val="standardContextual"/>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Indent"/>
    <w:basedOn w:val="1"/>
    <w:unhideWhenUsed/>
    <w:qFormat/>
    <w:uiPriority w:val="99"/>
    <w:pPr>
      <w:spacing w:after="120"/>
      <w:ind w:left="420" w:leftChars="200"/>
    </w:pPr>
  </w:style>
  <w:style w:type="character" w:customStyle="1" w:styleId="7">
    <w:name w:val="标题 2 字符"/>
    <w:basedOn w:val="6"/>
    <w:link w:val="2"/>
    <w:autoRedefine/>
    <w:qFormat/>
    <w:uiPriority w:val="9"/>
    <w:rPr>
      <w:rFonts w:eastAsia="仿宋" w:asciiTheme="majorAscii" w:hAnsiTheme="majorAscii" w:cstheme="majorBidi"/>
      <w:b/>
      <w:bCs/>
      <w:sz w:val="32"/>
      <w:szCs w:val="32"/>
      <w14:ligatures w14:val="standardContextual"/>
    </w:rPr>
  </w:style>
  <w:style w:type="character" w:customStyle="1" w:styleId="8">
    <w:name w:val="标题 3 字符"/>
    <w:basedOn w:val="6"/>
    <w:link w:val="3"/>
    <w:autoRedefine/>
    <w:qFormat/>
    <w:uiPriority w:val="9"/>
    <w:rPr>
      <w:rFonts w:eastAsia="仿宋" w:asciiTheme="minorAscii" w:hAnsiTheme="minorAscii"/>
      <w:b/>
      <w:bCs/>
      <w:sz w:val="30"/>
      <w:szCs w:val="32"/>
      <w14:ligatures w14:val="standardContextu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2024-04-17T03:27:00Z</dcterms:created>
  <dc:creator>向往</dc:creator>
  <cp:lastModifiedBy>向往</cp:lastModifiedBy>
  <dcterms:modified xsi:type="dcterms:W3CDTF">2024-04-17T03:27:26Z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396A671E9B664B95884DD80D6B4ACDE2_11</vt:lpwstr>
  </property>
</Properties>
</file>