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06184">
      <w:pPr>
        <w:widowControl/>
        <w:adjustRightInd w:val="0"/>
        <w:snapToGrid w:val="0"/>
        <w:spacing w:line="560" w:lineRule="exact"/>
        <w:jc w:val="left"/>
        <w:rPr>
          <w:rFonts w:hint="eastAsia" w:ascii="黑体" w:eastAsia="黑体" w:cs="宋体"/>
          <w:kern w:val="0"/>
          <w:sz w:val="30"/>
          <w:szCs w:val="30"/>
        </w:rPr>
      </w:pPr>
      <w:r>
        <w:rPr>
          <w:rFonts w:hint="eastAsia" w:ascii="黑体" w:eastAsia="黑体" w:cs="宋体"/>
          <w:kern w:val="0"/>
          <w:sz w:val="30"/>
          <w:szCs w:val="30"/>
        </w:rPr>
        <w:t>附件</w:t>
      </w:r>
    </w:p>
    <w:p w14:paraId="5B60A4E1">
      <w:pPr>
        <w:widowControl/>
        <w:adjustRightInd w:val="0"/>
        <w:snapToGrid w:val="0"/>
        <w:spacing w:line="560" w:lineRule="exact"/>
        <w:jc w:val="center"/>
        <w:rPr>
          <w:rFonts w:hint="eastAsia" w:ascii="方正小标宋简体" w:eastAsia="方正小标宋简体" w:cs="宋体"/>
          <w:kern w:val="0"/>
          <w:sz w:val="36"/>
          <w:szCs w:val="36"/>
        </w:rPr>
      </w:pPr>
    </w:p>
    <w:p w14:paraId="20F0D1A6">
      <w:pPr>
        <w:widowControl/>
        <w:adjustRightInd w:val="0"/>
        <w:snapToGrid w:val="0"/>
        <w:spacing w:line="600" w:lineRule="exact"/>
        <w:jc w:val="center"/>
        <w:rPr>
          <w:rFonts w:hint="eastAsia" w:ascii="方正小标宋简体" w:eastAsia="方正小标宋简体" w:cs="宋体"/>
          <w:kern w:val="0"/>
          <w:sz w:val="38"/>
          <w:szCs w:val="38"/>
        </w:rPr>
      </w:pPr>
      <w:bookmarkStart w:id="0" w:name="_GoBack"/>
      <w:r>
        <w:rPr>
          <w:rFonts w:hint="eastAsia" w:ascii="方正小标宋简体" w:eastAsia="方正小标宋简体" w:cs="宋体"/>
          <w:kern w:val="0"/>
          <w:sz w:val="38"/>
          <w:szCs w:val="38"/>
        </w:rPr>
        <w:t>上海市中小学艺术工作管理办法</w:t>
      </w:r>
    </w:p>
    <w:bookmarkEnd w:id="0"/>
    <w:p w14:paraId="4EA6D7E0">
      <w:pPr>
        <w:widowControl/>
        <w:adjustRightInd w:val="0"/>
        <w:snapToGrid w:val="0"/>
        <w:spacing w:line="600" w:lineRule="exact"/>
        <w:jc w:val="center"/>
        <w:rPr>
          <w:rFonts w:ascii="方正小标宋简体" w:eastAsia="方正小标宋简体" w:cs="宋体"/>
          <w:kern w:val="0"/>
          <w:sz w:val="36"/>
          <w:szCs w:val="36"/>
        </w:rPr>
      </w:pPr>
    </w:p>
    <w:p w14:paraId="35C0E04E">
      <w:pPr>
        <w:keepNext/>
        <w:keepLines/>
        <w:widowControl/>
        <w:adjustRightInd w:val="0"/>
        <w:snapToGrid w:val="0"/>
        <w:spacing w:line="600" w:lineRule="exact"/>
        <w:jc w:val="center"/>
        <w:outlineLvl w:val="1"/>
        <w:rPr>
          <w:rFonts w:ascii="等线 Light" w:hAnsi="等线 Light" w:eastAsia="黑体"/>
          <w:bCs/>
          <w:sz w:val="30"/>
          <w:szCs w:val="30"/>
        </w:rPr>
      </w:pPr>
      <w:r>
        <w:rPr>
          <w:rFonts w:hint="eastAsia" w:ascii="等线 Light" w:hAnsi="等线 Light" w:eastAsia="黑体"/>
          <w:bCs/>
          <w:sz w:val="30"/>
          <w:szCs w:val="30"/>
        </w:rPr>
        <w:t>第一章  总则</w:t>
      </w:r>
    </w:p>
    <w:p w14:paraId="3BD38E4C">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第一条（目的依据）</w:t>
      </w:r>
    </w:p>
    <w:p w14:paraId="4E1E5E29">
      <w:pPr>
        <w:widowControl/>
        <w:adjustRightInd w:val="0"/>
        <w:snapToGrid w:val="0"/>
        <w:spacing w:line="600" w:lineRule="exact"/>
        <w:ind w:firstLine="560"/>
        <w:rPr>
          <w:rFonts w:eastAsia="仿宋_GB2312" w:cs="Calibri"/>
          <w:sz w:val="30"/>
          <w:szCs w:val="30"/>
        </w:rPr>
      </w:pPr>
      <w:r>
        <w:rPr>
          <w:rFonts w:eastAsia="仿宋_GB2312"/>
          <w:sz w:val="30"/>
          <w:szCs w:val="30"/>
        </w:rPr>
        <w:t>为全面贯彻党和国家的教育方针，进一步提升本市学校</w:t>
      </w:r>
      <w:r>
        <w:rPr>
          <w:rFonts w:hint="eastAsia" w:eastAsia="仿宋_GB2312"/>
          <w:sz w:val="30"/>
          <w:szCs w:val="30"/>
        </w:rPr>
        <w:t>艺术</w:t>
      </w:r>
      <w:r>
        <w:rPr>
          <w:rFonts w:eastAsia="仿宋_GB2312"/>
          <w:sz w:val="30"/>
          <w:szCs w:val="30"/>
        </w:rPr>
        <w:t>工作水平，通过强化学校</w:t>
      </w:r>
      <w:r>
        <w:rPr>
          <w:rFonts w:hint="eastAsia" w:eastAsia="仿宋_GB2312"/>
          <w:sz w:val="30"/>
          <w:szCs w:val="30"/>
        </w:rPr>
        <w:t>艺术</w:t>
      </w:r>
      <w:r>
        <w:rPr>
          <w:rFonts w:eastAsia="仿宋_GB2312"/>
          <w:sz w:val="30"/>
          <w:szCs w:val="30"/>
        </w:rPr>
        <w:t>特色</w:t>
      </w:r>
      <w:r>
        <w:rPr>
          <w:rFonts w:hint="eastAsia" w:eastAsia="仿宋_GB2312"/>
          <w:sz w:val="30"/>
          <w:szCs w:val="30"/>
        </w:rPr>
        <w:t>，</w:t>
      </w:r>
      <w:r>
        <w:rPr>
          <w:rFonts w:eastAsia="仿宋_GB2312"/>
          <w:sz w:val="30"/>
          <w:szCs w:val="30"/>
        </w:rPr>
        <w:t>优化项目布局结构</w:t>
      </w:r>
      <w:r>
        <w:rPr>
          <w:rFonts w:hint="eastAsia" w:eastAsia="仿宋_GB2312"/>
          <w:sz w:val="30"/>
          <w:szCs w:val="30"/>
        </w:rPr>
        <w:t>，</w:t>
      </w:r>
      <w:r>
        <w:rPr>
          <w:rFonts w:eastAsia="仿宋_GB2312"/>
          <w:sz w:val="30"/>
          <w:szCs w:val="30"/>
        </w:rPr>
        <w:t>完善人才培养体系，促进学校</w:t>
      </w:r>
      <w:r>
        <w:rPr>
          <w:rFonts w:hint="eastAsia" w:eastAsia="仿宋_GB2312"/>
          <w:sz w:val="30"/>
          <w:szCs w:val="30"/>
        </w:rPr>
        <w:t>美</w:t>
      </w:r>
      <w:r>
        <w:rPr>
          <w:rFonts w:eastAsia="仿宋_GB2312"/>
          <w:sz w:val="30"/>
          <w:szCs w:val="30"/>
        </w:rPr>
        <w:t>育事业健康持续发展</w:t>
      </w:r>
      <w:r>
        <w:rPr>
          <w:rFonts w:hint="eastAsia" w:eastAsia="仿宋_GB2312"/>
          <w:sz w:val="30"/>
          <w:szCs w:val="30"/>
        </w:rPr>
        <w:t>，努力</w:t>
      </w:r>
      <w:r>
        <w:rPr>
          <w:rFonts w:eastAsia="仿宋_GB2312"/>
          <w:sz w:val="30"/>
          <w:szCs w:val="30"/>
        </w:rPr>
        <w:t>培养德智体美劳全面发展的社会主义建设者和接班人，</w:t>
      </w:r>
      <w:r>
        <w:rPr>
          <w:rFonts w:hint="eastAsia" w:eastAsia="仿宋_GB2312"/>
          <w:sz w:val="30"/>
          <w:szCs w:val="30"/>
        </w:rPr>
        <w:t>依据《关于全面加强和改进新时代学校美育工作的意见》《教育部关于全面实施学校美育浸润行动的通知》</w:t>
      </w:r>
      <w:r>
        <w:rPr>
          <w:rFonts w:hint="eastAsia" w:eastAsia="仿宋_GB2312" w:cs="Calibri"/>
          <w:sz w:val="30"/>
          <w:szCs w:val="30"/>
        </w:rPr>
        <w:t>等</w:t>
      </w:r>
      <w:r>
        <w:rPr>
          <w:rFonts w:eastAsia="仿宋_GB2312" w:cs="Calibri"/>
          <w:sz w:val="30"/>
          <w:szCs w:val="30"/>
        </w:rPr>
        <w:t>要求，结合本市中小学校艺术</w:t>
      </w:r>
      <w:r>
        <w:rPr>
          <w:rFonts w:hint="eastAsia" w:eastAsia="仿宋_GB2312" w:cs="Calibri"/>
          <w:sz w:val="30"/>
          <w:szCs w:val="30"/>
        </w:rPr>
        <w:t>工作</w:t>
      </w:r>
      <w:r>
        <w:rPr>
          <w:rFonts w:eastAsia="仿宋_GB2312" w:cs="Calibri"/>
          <w:sz w:val="30"/>
          <w:szCs w:val="30"/>
        </w:rPr>
        <w:t>实际，制定本办法。</w:t>
      </w:r>
    </w:p>
    <w:p w14:paraId="7125E8DE">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第二条（总体要求）</w:t>
      </w:r>
    </w:p>
    <w:p w14:paraId="6670042D">
      <w:pPr>
        <w:widowControl/>
        <w:adjustRightInd w:val="0"/>
        <w:snapToGrid w:val="0"/>
        <w:spacing w:line="600" w:lineRule="exact"/>
        <w:ind w:firstLine="560"/>
        <w:rPr>
          <w:rFonts w:eastAsia="仿宋_GB2312" w:cs="Calibri"/>
          <w:sz w:val="30"/>
          <w:szCs w:val="30"/>
        </w:rPr>
      </w:pPr>
      <w:r>
        <w:rPr>
          <w:rFonts w:hint="eastAsia" w:eastAsia="仿宋_GB2312" w:cs="Calibri"/>
          <w:sz w:val="30"/>
          <w:szCs w:val="30"/>
        </w:rPr>
        <w:t>本市</w:t>
      </w:r>
      <w:r>
        <w:rPr>
          <w:rFonts w:eastAsia="仿宋_GB2312" w:cs="Calibri"/>
          <w:sz w:val="30"/>
          <w:szCs w:val="30"/>
        </w:rPr>
        <w:t>各中小学校</w:t>
      </w:r>
      <w:r>
        <w:rPr>
          <w:rFonts w:hint="eastAsia" w:eastAsia="仿宋_GB2312" w:cs="Calibri"/>
          <w:sz w:val="30"/>
          <w:szCs w:val="30"/>
        </w:rPr>
        <w:t>应</w:t>
      </w:r>
      <w:r>
        <w:rPr>
          <w:rFonts w:eastAsia="仿宋_GB2312" w:cs="Calibri"/>
          <w:sz w:val="30"/>
          <w:szCs w:val="30"/>
        </w:rPr>
        <w:t>坚持</w:t>
      </w:r>
      <w:r>
        <w:rPr>
          <w:rFonts w:hint="eastAsia" w:eastAsia="仿宋_GB2312" w:cs="Calibri"/>
          <w:sz w:val="30"/>
          <w:szCs w:val="30"/>
        </w:rPr>
        <w:t>育人为本</w:t>
      </w:r>
      <w:r>
        <w:rPr>
          <w:rFonts w:eastAsia="仿宋_GB2312" w:cs="Calibri"/>
          <w:sz w:val="30"/>
          <w:szCs w:val="30"/>
        </w:rPr>
        <w:t>、面向全体</w:t>
      </w:r>
      <w:r>
        <w:rPr>
          <w:rFonts w:hint="eastAsia" w:eastAsia="仿宋_GB2312" w:cs="Calibri"/>
          <w:sz w:val="30"/>
          <w:szCs w:val="30"/>
        </w:rPr>
        <w:t>，以社会主义核心价值观为引领，弘扬中华美育精神，以浸润作为美育工作的目标和路径，将美育融入教育教学活动各环节。按照</w:t>
      </w:r>
      <w:r>
        <w:rPr>
          <w:rFonts w:eastAsia="仿宋_GB2312" w:cs="Calibri"/>
          <w:sz w:val="30"/>
          <w:szCs w:val="30"/>
        </w:rPr>
        <w:t>国家</w:t>
      </w:r>
      <w:r>
        <w:rPr>
          <w:rFonts w:hint="eastAsia" w:eastAsia="仿宋_GB2312" w:cs="Calibri"/>
          <w:sz w:val="30"/>
          <w:szCs w:val="30"/>
        </w:rPr>
        <w:t>和</w:t>
      </w:r>
      <w:r>
        <w:rPr>
          <w:rFonts w:eastAsia="仿宋_GB2312" w:cs="Calibri"/>
          <w:sz w:val="30"/>
          <w:szCs w:val="30"/>
        </w:rPr>
        <w:t>本市有关部署和要求，发挥</w:t>
      </w:r>
      <w:r>
        <w:rPr>
          <w:rFonts w:hint="eastAsia" w:eastAsia="仿宋_GB2312" w:cs="Calibri"/>
          <w:sz w:val="30"/>
          <w:szCs w:val="30"/>
        </w:rPr>
        <w:t>市、区两级艺术教育</w:t>
      </w:r>
      <w:r>
        <w:rPr>
          <w:rFonts w:eastAsia="仿宋_GB2312" w:cs="Calibri"/>
          <w:sz w:val="30"/>
          <w:szCs w:val="30"/>
        </w:rPr>
        <w:t>委员会</w:t>
      </w:r>
      <w:r>
        <w:rPr>
          <w:rFonts w:hint="eastAsia" w:eastAsia="仿宋_GB2312" w:cs="Calibri"/>
          <w:sz w:val="30"/>
          <w:szCs w:val="30"/>
        </w:rPr>
        <w:t>作用，</w:t>
      </w:r>
      <w:r>
        <w:rPr>
          <w:rFonts w:eastAsia="仿宋_GB2312" w:cs="Calibri"/>
          <w:sz w:val="30"/>
          <w:szCs w:val="30"/>
        </w:rPr>
        <w:t>用好文教结合平台优势，整合</w:t>
      </w:r>
      <w:r>
        <w:rPr>
          <w:rFonts w:hint="eastAsia" w:eastAsia="仿宋_GB2312" w:cs="Calibri"/>
          <w:sz w:val="30"/>
          <w:szCs w:val="30"/>
        </w:rPr>
        <w:t>高校</w:t>
      </w:r>
      <w:r>
        <w:rPr>
          <w:rFonts w:eastAsia="仿宋_GB2312" w:cs="Calibri"/>
          <w:sz w:val="30"/>
          <w:szCs w:val="30"/>
        </w:rPr>
        <w:t>优质资源，建立大中小学美育协同育人机制，完善艺术</w:t>
      </w:r>
      <w:r>
        <w:rPr>
          <w:rFonts w:hint="eastAsia" w:eastAsia="仿宋_GB2312" w:cs="Calibri"/>
          <w:sz w:val="30"/>
          <w:szCs w:val="30"/>
        </w:rPr>
        <w:t>项目</w:t>
      </w:r>
      <w:r>
        <w:rPr>
          <w:rFonts w:eastAsia="仿宋_GB2312" w:cs="Calibri"/>
          <w:sz w:val="30"/>
          <w:szCs w:val="30"/>
        </w:rPr>
        <w:t>布局</w:t>
      </w:r>
      <w:r>
        <w:rPr>
          <w:rFonts w:hint="eastAsia" w:eastAsia="仿宋_GB2312" w:cs="Calibri"/>
          <w:sz w:val="30"/>
          <w:szCs w:val="30"/>
        </w:rPr>
        <w:t>，</w:t>
      </w:r>
      <w:r>
        <w:rPr>
          <w:rFonts w:eastAsia="仿宋_GB2312" w:cs="Calibri"/>
          <w:sz w:val="30"/>
          <w:szCs w:val="30"/>
        </w:rPr>
        <w:t>推进艺术人才培养模式创新</w:t>
      </w:r>
      <w:r>
        <w:rPr>
          <w:rFonts w:hint="eastAsia" w:eastAsia="仿宋_GB2312" w:cs="Calibri"/>
          <w:sz w:val="30"/>
          <w:szCs w:val="30"/>
        </w:rPr>
        <w:t>。实现</w:t>
      </w:r>
      <w:r>
        <w:rPr>
          <w:rFonts w:eastAsia="仿宋_GB2312" w:cs="Calibri"/>
          <w:sz w:val="30"/>
          <w:szCs w:val="30"/>
        </w:rPr>
        <w:t>提升中小学生</w:t>
      </w:r>
      <w:r>
        <w:rPr>
          <w:rFonts w:hint="eastAsia" w:eastAsia="仿宋_GB2312" w:cs="Calibri"/>
          <w:sz w:val="30"/>
          <w:szCs w:val="30"/>
        </w:rPr>
        <w:t>审美</w:t>
      </w:r>
      <w:r>
        <w:rPr>
          <w:rFonts w:eastAsia="仿宋_GB2312" w:cs="Calibri"/>
          <w:sz w:val="30"/>
          <w:szCs w:val="30"/>
        </w:rPr>
        <w:t>素养，</w:t>
      </w:r>
      <w:r>
        <w:rPr>
          <w:rFonts w:hint="eastAsia" w:eastAsia="仿宋_GB2312" w:cs="Calibri"/>
          <w:sz w:val="30"/>
          <w:szCs w:val="30"/>
        </w:rPr>
        <w:t>陶冶情操，温润心灵，激发创新创造活力，</w:t>
      </w:r>
      <w:r>
        <w:rPr>
          <w:rFonts w:eastAsia="仿宋_GB2312" w:cs="Calibri"/>
          <w:sz w:val="30"/>
          <w:szCs w:val="30"/>
        </w:rPr>
        <w:t>促进德智体美劳全面发展</w:t>
      </w:r>
      <w:r>
        <w:rPr>
          <w:rFonts w:hint="eastAsia" w:eastAsia="仿宋_GB2312" w:cs="Calibri"/>
          <w:sz w:val="30"/>
          <w:szCs w:val="30"/>
        </w:rPr>
        <w:t>。</w:t>
      </w:r>
    </w:p>
    <w:p w14:paraId="5C7CA8C5">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第三条（适用范围）</w:t>
      </w:r>
    </w:p>
    <w:p w14:paraId="2C5AE69D">
      <w:pPr>
        <w:widowControl/>
        <w:adjustRightInd w:val="0"/>
        <w:snapToGrid w:val="0"/>
        <w:spacing w:line="600" w:lineRule="exact"/>
        <w:ind w:firstLine="600" w:firstLineChars="200"/>
        <w:rPr>
          <w:rFonts w:hint="eastAsia" w:eastAsia="仿宋_GB2312" w:cs="Calibri"/>
          <w:sz w:val="30"/>
          <w:szCs w:val="30"/>
        </w:rPr>
      </w:pPr>
      <w:r>
        <w:rPr>
          <w:rFonts w:hint="eastAsia" w:eastAsia="仿宋_GB2312" w:cs="Calibri"/>
          <w:sz w:val="30"/>
          <w:szCs w:val="30"/>
        </w:rPr>
        <w:t>本办法适用于本市行政区域内的中小学校（含中等职业学校）。</w:t>
      </w:r>
    </w:p>
    <w:p w14:paraId="709F7920">
      <w:pPr>
        <w:widowControl/>
        <w:adjustRightInd w:val="0"/>
        <w:snapToGrid w:val="0"/>
        <w:spacing w:line="600" w:lineRule="exact"/>
        <w:ind w:firstLine="600" w:firstLineChars="200"/>
        <w:rPr>
          <w:rFonts w:eastAsia="仿宋_GB2312" w:cs="Calibri"/>
          <w:sz w:val="30"/>
          <w:szCs w:val="30"/>
        </w:rPr>
      </w:pPr>
    </w:p>
    <w:p w14:paraId="651FDF13">
      <w:pPr>
        <w:keepNext/>
        <w:keepLines/>
        <w:widowControl/>
        <w:adjustRightInd w:val="0"/>
        <w:snapToGrid w:val="0"/>
        <w:spacing w:line="600" w:lineRule="exact"/>
        <w:jc w:val="center"/>
        <w:outlineLvl w:val="1"/>
        <w:rPr>
          <w:rFonts w:ascii="等线 Light" w:hAnsi="等线 Light" w:eastAsia="黑体"/>
          <w:bCs/>
          <w:sz w:val="30"/>
          <w:szCs w:val="30"/>
        </w:rPr>
      </w:pPr>
      <w:r>
        <w:rPr>
          <w:rFonts w:ascii="等线 Light" w:hAnsi="等线 Light" w:eastAsia="黑体"/>
          <w:bCs/>
          <w:sz w:val="30"/>
          <w:szCs w:val="30"/>
        </w:rPr>
        <w:t xml:space="preserve">第二章  </w:t>
      </w:r>
      <w:r>
        <w:rPr>
          <w:rFonts w:hint="eastAsia" w:ascii="等线 Light" w:hAnsi="等线 Light" w:eastAsia="黑体"/>
          <w:bCs/>
          <w:sz w:val="30"/>
          <w:szCs w:val="30"/>
        </w:rPr>
        <w:t>全面</w:t>
      </w:r>
      <w:r>
        <w:rPr>
          <w:rFonts w:ascii="等线 Light" w:hAnsi="等线 Light" w:eastAsia="黑体"/>
          <w:bCs/>
          <w:sz w:val="30"/>
          <w:szCs w:val="30"/>
        </w:rPr>
        <w:t>提升中小学校艺术工作水平</w:t>
      </w:r>
    </w:p>
    <w:p w14:paraId="6409BC78">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第四条（教育教学）</w:t>
      </w:r>
    </w:p>
    <w:p w14:paraId="1362F157">
      <w:pPr>
        <w:widowControl/>
        <w:adjustRightInd w:val="0"/>
        <w:snapToGrid w:val="0"/>
        <w:spacing w:line="600" w:lineRule="exact"/>
        <w:ind w:firstLine="600" w:firstLineChars="200"/>
        <w:rPr>
          <w:rFonts w:eastAsia="仿宋_GB2312" w:cs="Calibri"/>
          <w:bCs/>
          <w:iCs/>
          <w:sz w:val="30"/>
          <w:szCs w:val="30"/>
        </w:rPr>
      </w:pPr>
      <w:r>
        <w:rPr>
          <w:rFonts w:hint="eastAsia" w:eastAsia="仿宋_GB2312" w:cs="Calibri"/>
          <w:bCs/>
          <w:iCs/>
          <w:sz w:val="30"/>
          <w:szCs w:val="30"/>
        </w:rPr>
        <w:t>本市各</w:t>
      </w:r>
      <w:r>
        <w:rPr>
          <w:rFonts w:eastAsia="仿宋_GB2312" w:cs="Calibri"/>
          <w:bCs/>
          <w:iCs/>
          <w:sz w:val="30"/>
          <w:szCs w:val="30"/>
        </w:rPr>
        <w:t>中小学</w:t>
      </w:r>
      <w:r>
        <w:rPr>
          <w:rFonts w:hint="eastAsia" w:eastAsia="仿宋_GB2312" w:cs="Calibri"/>
          <w:bCs/>
          <w:iCs/>
          <w:sz w:val="30"/>
          <w:szCs w:val="30"/>
        </w:rPr>
        <w:t>校要</w:t>
      </w:r>
      <w:r>
        <w:rPr>
          <w:rFonts w:eastAsia="仿宋_GB2312" w:cs="Calibri"/>
          <w:bCs/>
          <w:iCs/>
          <w:sz w:val="30"/>
          <w:szCs w:val="30"/>
        </w:rPr>
        <w:t>持续推进学校</w:t>
      </w:r>
      <w:r>
        <w:rPr>
          <w:rFonts w:hint="eastAsia" w:eastAsia="仿宋_GB2312" w:cs="Calibri"/>
          <w:bCs/>
          <w:iCs/>
          <w:sz w:val="30"/>
          <w:szCs w:val="30"/>
        </w:rPr>
        <w:t>美育</w:t>
      </w:r>
      <w:r>
        <w:rPr>
          <w:rFonts w:eastAsia="仿宋_GB2312" w:cs="Calibri"/>
          <w:bCs/>
          <w:iCs/>
          <w:sz w:val="30"/>
          <w:szCs w:val="30"/>
        </w:rPr>
        <w:t>改革发展，</w:t>
      </w:r>
      <w:r>
        <w:rPr>
          <w:rFonts w:hint="eastAsia" w:eastAsia="仿宋_GB2312" w:cs="Calibri"/>
          <w:bCs/>
          <w:iCs/>
          <w:sz w:val="30"/>
          <w:szCs w:val="30"/>
        </w:rPr>
        <w:t>“开齐</w:t>
      </w:r>
      <w:r>
        <w:rPr>
          <w:rFonts w:eastAsia="仿宋_GB2312" w:cs="Calibri"/>
          <w:bCs/>
          <w:iCs/>
          <w:sz w:val="30"/>
          <w:szCs w:val="30"/>
        </w:rPr>
        <w:t>、开足、上好</w:t>
      </w:r>
      <w:r>
        <w:rPr>
          <w:rFonts w:hint="eastAsia" w:eastAsia="仿宋_GB2312" w:cs="Calibri"/>
          <w:bCs/>
          <w:iCs/>
          <w:sz w:val="30"/>
          <w:szCs w:val="30"/>
        </w:rPr>
        <w:t>”美育</w:t>
      </w:r>
      <w:r>
        <w:rPr>
          <w:rFonts w:eastAsia="仿宋_GB2312" w:cs="Calibri"/>
          <w:bCs/>
          <w:iCs/>
          <w:sz w:val="30"/>
          <w:szCs w:val="30"/>
        </w:rPr>
        <w:t>课程</w:t>
      </w:r>
      <w:r>
        <w:rPr>
          <w:rFonts w:hint="eastAsia" w:eastAsia="仿宋_GB2312" w:cs="Calibri"/>
          <w:bCs/>
          <w:iCs/>
          <w:sz w:val="30"/>
          <w:szCs w:val="30"/>
        </w:rPr>
        <w:t>。美育课程要以审美和人文素养培养为核心，与各学科相互渗透融合。</w:t>
      </w:r>
      <w:r>
        <w:rPr>
          <w:rFonts w:hint="eastAsia" w:eastAsia="仿宋_GB2312" w:cs="Calibri"/>
          <w:sz w:val="30"/>
          <w:szCs w:val="30"/>
        </w:rPr>
        <w:t>挖掘美育</w:t>
      </w:r>
      <w:r>
        <w:rPr>
          <w:rFonts w:eastAsia="仿宋_GB2312" w:cs="Calibri"/>
          <w:sz w:val="30"/>
          <w:szCs w:val="30"/>
        </w:rPr>
        <w:t>特色资源</w:t>
      </w:r>
      <w:r>
        <w:rPr>
          <w:rFonts w:hint="eastAsia" w:eastAsia="仿宋_GB2312" w:cs="Calibri"/>
          <w:sz w:val="30"/>
          <w:szCs w:val="30"/>
        </w:rPr>
        <w:t>，</w:t>
      </w:r>
      <w:r>
        <w:rPr>
          <w:rFonts w:hint="eastAsia" w:eastAsia="仿宋_GB2312" w:cs="Calibri"/>
          <w:bCs/>
          <w:iCs/>
          <w:sz w:val="30"/>
          <w:szCs w:val="30"/>
        </w:rPr>
        <w:t>丰富学校美育课程内容。加强</w:t>
      </w:r>
      <w:r>
        <w:rPr>
          <w:rFonts w:eastAsia="仿宋_GB2312" w:cs="Calibri"/>
          <w:bCs/>
          <w:iCs/>
          <w:sz w:val="30"/>
          <w:szCs w:val="30"/>
        </w:rPr>
        <w:t>美育学科研究水平，特别是中华优秀传统文化美育课程</w:t>
      </w:r>
      <w:r>
        <w:rPr>
          <w:rFonts w:hint="eastAsia" w:eastAsia="仿宋_GB2312" w:cs="Calibri"/>
          <w:bCs/>
          <w:iCs/>
          <w:sz w:val="30"/>
          <w:szCs w:val="30"/>
        </w:rPr>
        <w:t>研究</w:t>
      </w:r>
      <w:r>
        <w:rPr>
          <w:rFonts w:eastAsia="仿宋_GB2312" w:cs="Calibri"/>
          <w:bCs/>
          <w:iCs/>
          <w:sz w:val="30"/>
          <w:szCs w:val="30"/>
        </w:rPr>
        <w:t>，</w:t>
      </w:r>
      <w:r>
        <w:rPr>
          <w:rFonts w:hint="eastAsia" w:eastAsia="仿宋_GB2312" w:cs="Calibri"/>
          <w:bCs/>
          <w:iCs/>
          <w:sz w:val="30"/>
          <w:szCs w:val="30"/>
        </w:rPr>
        <w:t>推出</w:t>
      </w:r>
      <w:r>
        <w:rPr>
          <w:rFonts w:eastAsia="仿宋_GB2312" w:cs="Calibri"/>
          <w:bCs/>
          <w:iCs/>
          <w:sz w:val="30"/>
          <w:szCs w:val="30"/>
        </w:rPr>
        <w:t>一批</w:t>
      </w:r>
      <w:r>
        <w:rPr>
          <w:rFonts w:hint="eastAsia" w:eastAsia="仿宋_GB2312" w:cs="Calibri"/>
          <w:bCs/>
          <w:iCs/>
          <w:sz w:val="30"/>
          <w:szCs w:val="30"/>
        </w:rPr>
        <w:t>优质美育</w:t>
      </w:r>
      <w:r>
        <w:rPr>
          <w:rFonts w:eastAsia="仿宋_GB2312" w:cs="Calibri"/>
          <w:bCs/>
          <w:iCs/>
          <w:sz w:val="30"/>
          <w:szCs w:val="30"/>
        </w:rPr>
        <w:t>课程并增加</w:t>
      </w:r>
      <w:r>
        <w:rPr>
          <w:rFonts w:hint="eastAsia" w:eastAsia="仿宋_GB2312" w:cs="Calibri"/>
          <w:bCs/>
          <w:iCs/>
          <w:sz w:val="30"/>
          <w:szCs w:val="30"/>
        </w:rPr>
        <w:t>其</w:t>
      </w:r>
      <w:r>
        <w:rPr>
          <w:rFonts w:eastAsia="仿宋_GB2312" w:cs="Calibri"/>
          <w:bCs/>
          <w:iCs/>
          <w:sz w:val="30"/>
          <w:szCs w:val="30"/>
        </w:rPr>
        <w:t>覆盖面</w:t>
      </w:r>
      <w:r>
        <w:rPr>
          <w:rFonts w:hint="eastAsia" w:eastAsia="仿宋_GB2312" w:cs="Calibri"/>
          <w:bCs/>
          <w:iCs/>
          <w:sz w:val="30"/>
          <w:szCs w:val="30"/>
        </w:rPr>
        <w:t>。加强校外实践基地的美育课程资源建设，推动学校美育课程资源的整体优化。</w:t>
      </w:r>
    </w:p>
    <w:p w14:paraId="6997770F">
      <w:pPr>
        <w:widowControl/>
        <w:adjustRightInd w:val="0"/>
        <w:snapToGrid w:val="0"/>
        <w:spacing w:line="600" w:lineRule="exact"/>
        <w:ind w:left="630" w:leftChars="300"/>
        <w:outlineLvl w:val="1"/>
        <w:rPr>
          <w:rFonts w:hint="eastAsia" w:ascii="楷体_GB2312" w:hAnsi="Cambria" w:eastAsia="楷体_GB2312"/>
          <w:b/>
          <w:bCs/>
          <w:iCs/>
          <w:sz w:val="30"/>
          <w:szCs w:val="30"/>
        </w:rPr>
      </w:pPr>
      <w:r>
        <w:rPr>
          <w:rFonts w:hint="eastAsia" w:ascii="楷体_GB2312" w:hAnsi="Cambria" w:eastAsia="楷体_GB2312"/>
          <w:b/>
          <w:bCs/>
          <w:iCs/>
          <w:sz w:val="30"/>
          <w:szCs w:val="30"/>
        </w:rPr>
        <w:t>第五条（艺术实践）</w:t>
      </w:r>
    </w:p>
    <w:p w14:paraId="08E1CC4C">
      <w:pPr>
        <w:widowControl/>
        <w:adjustRightInd w:val="0"/>
        <w:snapToGrid w:val="0"/>
        <w:spacing w:line="600" w:lineRule="exact"/>
        <w:ind w:firstLine="600" w:firstLineChars="200"/>
        <w:rPr>
          <w:rFonts w:hint="eastAsia" w:ascii="仿宋_GB2312" w:eastAsia="仿宋_GB2312" w:cs="Calibri"/>
          <w:bCs/>
          <w:iCs/>
          <w:sz w:val="30"/>
          <w:szCs w:val="30"/>
        </w:rPr>
      </w:pPr>
      <w:r>
        <w:rPr>
          <w:rFonts w:hint="eastAsia" w:ascii="仿宋_GB2312" w:eastAsia="仿宋_GB2312" w:cs="Calibri"/>
          <w:bCs/>
          <w:iCs/>
          <w:sz w:val="30"/>
          <w:szCs w:val="30"/>
        </w:rPr>
        <w:t>艺术实践是学校艺术教育工作的重要组成部分。本市将继续加强市级高水平学生艺术团联盟及中小学市级学生艺术团管理与建设，发挥其示范和辐射作用。各中小学校要加强以“四团一队”（合唱团、舞蹈团、戏剧戏曲及美术社团和中西乐队）为主的学生艺术社团、兴趣小组建设，建立艺术实践制度，科学制定艺术实践计划，组织学生利用课后服务、双休日及寒暑假等时间参加艺术实践，为有艺术兴趣爱好和发展潜力的学生参加艺术实践、提升艺术水平创造条件。学生每周参与艺术实践活动（艺术拓展课、艺术团排演、艺术观摩等）不少于2小时，“一条龙”内学校学生每周参与艺术实践活动需达到3.5小时。</w:t>
      </w:r>
    </w:p>
    <w:p w14:paraId="4B1A60C9">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第六条（艺术展演）</w:t>
      </w:r>
    </w:p>
    <w:p w14:paraId="01252EE0">
      <w:pPr>
        <w:widowControl/>
        <w:adjustRightInd w:val="0"/>
        <w:snapToGrid w:val="0"/>
        <w:spacing w:line="600" w:lineRule="exact"/>
        <w:ind w:firstLine="600" w:firstLineChars="200"/>
        <w:rPr>
          <w:rFonts w:eastAsia="仿宋_GB2312" w:cs="Calibri"/>
          <w:bCs/>
          <w:iCs/>
          <w:sz w:val="30"/>
          <w:szCs w:val="30"/>
        </w:rPr>
      </w:pPr>
      <w:r>
        <w:rPr>
          <w:rFonts w:eastAsia="仿宋_GB2312" w:cs="Calibri"/>
          <w:bCs/>
          <w:iCs/>
          <w:sz w:val="30"/>
          <w:szCs w:val="30"/>
        </w:rPr>
        <w:t>为坚持以普及促提高、以提高带普及，引导学生树立正确的审美观念、陶冶健康的审美情趣、培养良好的艺术修养，搭建青少年艺术教育成果</w:t>
      </w:r>
      <w:r>
        <w:rPr>
          <w:rFonts w:hint="eastAsia" w:eastAsia="仿宋_GB2312" w:cs="Calibri"/>
          <w:bCs/>
          <w:iCs/>
          <w:sz w:val="30"/>
          <w:szCs w:val="30"/>
        </w:rPr>
        <w:t>展示</w:t>
      </w:r>
      <w:r>
        <w:rPr>
          <w:rFonts w:eastAsia="仿宋_GB2312" w:cs="Calibri"/>
          <w:bCs/>
          <w:iCs/>
          <w:sz w:val="30"/>
          <w:szCs w:val="30"/>
        </w:rPr>
        <w:t>平台，推进学校美育改革发展，</w:t>
      </w:r>
      <w:r>
        <w:rPr>
          <w:rFonts w:hint="eastAsia" w:eastAsia="仿宋_GB2312" w:cs="Calibri"/>
          <w:bCs/>
          <w:iCs/>
          <w:sz w:val="30"/>
          <w:szCs w:val="30"/>
        </w:rPr>
        <w:t>本市继续完善市、区、校三级艺术展演活动，推荐优秀节目（作品）参加全国展演现场展示。</w:t>
      </w:r>
      <w:r>
        <w:rPr>
          <w:rFonts w:eastAsia="仿宋_GB2312" w:cs="Calibri"/>
          <w:sz w:val="30"/>
          <w:szCs w:val="30"/>
        </w:rPr>
        <w:t>加强校内外联动</w:t>
      </w:r>
      <w:r>
        <w:rPr>
          <w:rFonts w:hint="eastAsia" w:eastAsia="仿宋_GB2312" w:cs="Calibri"/>
          <w:sz w:val="30"/>
          <w:szCs w:val="30"/>
        </w:rPr>
        <w:t>，</w:t>
      </w:r>
      <w:r>
        <w:rPr>
          <w:rFonts w:hint="eastAsia" w:ascii="Calibri" w:hAnsi="Calibri" w:eastAsia="仿宋_GB2312"/>
          <w:sz w:val="30"/>
          <w:szCs w:val="30"/>
          <w:lang w:bidi="ar"/>
        </w:rPr>
        <w:t>广泛开展班级、年级、校级等群体性展示交流，学校每学期至少举办一次全员参与的展演展示活动，提高中小学生艺术展演活动覆盖面和参与度。</w:t>
      </w:r>
    </w:p>
    <w:p w14:paraId="6333FC58">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第七条（</w:t>
      </w:r>
      <w:r>
        <w:rPr>
          <w:rFonts w:hint="eastAsia" w:ascii="楷体_GB2312" w:hAnsi="Cambria" w:eastAsia="楷体_GB2312"/>
          <w:b/>
          <w:bCs/>
          <w:iCs/>
          <w:sz w:val="30"/>
          <w:szCs w:val="30"/>
        </w:rPr>
        <w:t>综合</w:t>
      </w:r>
      <w:r>
        <w:rPr>
          <w:rFonts w:hint="eastAsia" w:ascii="楷体_GB2312" w:hAnsi="Cambria" w:eastAsia="楷体_GB2312"/>
          <w:b/>
          <w:bCs/>
          <w:sz w:val="30"/>
          <w:szCs w:val="30"/>
        </w:rPr>
        <w:t>评价）</w:t>
      </w:r>
    </w:p>
    <w:p w14:paraId="4EB8F8DB">
      <w:pPr>
        <w:widowControl/>
        <w:adjustRightInd w:val="0"/>
        <w:snapToGrid w:val="0"/>
        <w:spacing w:line="600" w:lineRule="exact"/>
        <w:ind w:firstLine="560"/>
        <w:rPr>
          <w:rFonts w:hint="eastAsia" w:eastAsia="仿宋_GB2312" w:cs="Calibri"/>
          <w:sz w:val="30"/>
          <w:szCs w:val="30"/>
        </w:rPr>
      </w:pPr>
      <w:r>
        <w:rPr>
          <w:rFonts w:hint="eastAsia" w:eastAsia="仿宋_GB2312" w:cs="Calibri"/>
          <w:sz w:val="30"/>
          <w:szCs w:val="30"/>
        </w:rPr>
        <w:t>艺术素质</w:t>
      </w:r>
      <w:r>
        <w:rPr>
          <w:rFonts w:eastAsia="仿宋_GB2312" w:cs="Calibri"/>
          <w:sz w:val="30"/>
          <w:szCs w:val="30"/>
        </w:rPr>
        <w:t>是学生综合素质的重要组成</w:t>
      </w:r>
      <w:r>
        <w:rPr>
          <w:rFonts w:hint="eastAsia" w:eastAsia="仿宋_GB2312" w:cs="Calibri"/>
          <w:sz w:val="30"/>
          <w:szCs w:val="30"/>
        </w:rPr>
        <w:t>部分。各中小学校依据课程标准组织实施全员艺术素质测评，完善初、高中艺术科目学业水平考试，将美育评价纳入学生综合素质档案。实施学校美育工作自评和年度报告制度。</w:t>
      </w:r>
    </w:p>
    <w:p w14:paraId="066F106B">
      <w:pPr>
        <w:widowControl/>
        <w:adjustRightInd w:val="0"/>
        <w:snapToGrid w:val="0"/>
        <w:spacing w:line="600" w:lineRule="exact"/>
        <w:ind w:firstLine="560"/>
        <w:rPr>
          <w:rFonts w:eastAsia="黑体" w:cs="Calibri"/>
          <w:bCs/>
          <w:sz w:val="30"/>
          <w:szCs w:val="30"/>
        </w:rPr>
      </w:pPr>
    </w:p>
    <w:p w14:paraId="33755806">
      <w:pPr>
        <w:keepNext/>
        <w:keepLines/>
        <w:widowControl/>
        <w:adjustRightInd w:val="0"/>
        <w:snapToGrid w:val="0"/>
        <w:spacing w:line="600" w:lineRule="exact"/>
        <w:jc w:val="center"/>
        <w:outlineLvl w:val="1"/>
        <w:rPr>
          <w:rFonts w:ascii="等线 Light" w:hAnsi="等线 Light" w:eastAsia="黑体"/>
          <w:bCs/>
          <w:sz w:val="30"/>
          <w:szCs w:val="30"/>
        </w:rPr>
      </w:pPr>
      <w:r>
        <w:rPr>
          <w:rFonts w:hint="eastAsia" w:ascii="等线 Light" w:hAnsi="等线 Light" w:eastAsia="黑体"/>
          <w:bCs/>
          <w:sz w:val="30"/>
          <w:szCs w:val="30"/>
        </w:rPr>
        <w:t>第三章  优化</w:t>
      </w:r>
      <w:r>
        <w:rPr>
          <w:rFonts w:ascii="等线 Light" w:hAnsi="等线 Light" w:eastAsia="黑体"/>
          <w:bCs/>
          <w:sz w:val="30"/>
          <w:szCs w:val="30"/>
        </w:rPr>
        <w:t>本市学校艺术项目</w:t>
      </w:r>
      <w:r>
        <w:rPr>
          <w:rFonts w:hint="eastAsia" w:ascii="等线 Light" w:hAnsi="等线 Light" w:eastAsia="黑体"/>
          <w:bCs/>
          <w:sz w:val="30"/>
          <w:szCs w:val="30"/>
        </w:rPr>
        <w:t>布局</w:t>
      </w:r>
    </w:p>
    <w:p w14:paraId="25A5A6BA">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第八条（发展特色项目）</w:t>
      </w:r>
    </w:p>
    <w:p w14:paraId="1562FDF4">
      <w:pPr>
        <w:widowControl/>
        <w:adjustRightInd w:val="0"/>
        <w:snapToGrid w:val="0"/>
        <w:spacing w:line="600" w:lineRule="exact"/>
        <w:ind w:firstLine="600"/>
        <w:rPr>
          <w:rFonts w:hint="eastAsia" w:ascii="仿宋_GB2312" w:hAnsi="Calibri" w:eastAsia="仿宋_GB2312" w:cs="Calibri"/>
          <w:sz w:val="30"/>
          <w:szCs w:val="30"/>
        </w:rPr>
      </w:pPr>
      <w:r>
        <w:rPr>
          <w:rFonts w:hint="eastAsia" w:ascii="仿宋_GB2312" w:eastAsia="仿宋_GB2312" w:cs="Calibri"/>
          <w:spacing w:val="4"/>
          <w:sz w:val="30"/>
          <w:szCs w:val="30"/>
        </w:rPr>
        <w:t>各中小学校要不断丰富艺术项目类型，不断强化艺术特色，努力建设“一校多品”，逐步形成品牌特色，为学生综合素质提升提供</w:t>
      </w:r>
      <w:r>
        <w:rPr>
          <w:rFonts w:hint="eastAsia" w:ascii="仿宋_GB2312" w:eastAsia="仿宋_GB2312" w:cs="Calibri"/>
          <w:sz w:val="30"/>
          <w:szCs w:val="30"/>
        </w:rPr>
        <w:t>有力保障。每所小学和初中开展4种以上、高中开展5种以上艺术项目，引导学生养成参与艺术实践活动的习惯。</w:t>
      </w:r>
    </w:p>
    <w:p w14:paraId="4847067D">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第九条（统筹项目布局）</w:t>
      </w:r>
    </w:p>
    <w:p w14:paraId="0036540D">
      <w:pPr>
        <w:widowControl/>
        <w:adjustRightInd w:val="0"/>
        <w:snapToGrid w:val="0"/>
        <w:spacing w:line="600" w:lineRule="exact"/>
        <w:ind w:firstLine="560"/>
        <w:rPr>
          <w:rFonts w:hint="eastAsia" w:ascii="仿宋_GB2312" w:eastAsia="仿宋_GB2312" w:cs="Calibri"/>
          <w:sz w:val="30"/>
          <w:szCs w:val="30"/>
        </w:rPr>
      </w:pPr>
      <w:r>
        <w:rPr>
          <w:rFonts w:hint="eastAsia" w:ascii="仿宋_GB2312" w:eastAsia="仿宋_GB2312" w:cs="Calibri"/>
          <w:sz w:val="30"/>
          <w:szCs w:val="30"/>
        </w:rPr>
        <w:t>进一步促进学校艺术工作均衡有序发展，提升育人效益，按照教育部中小学艺术展演项目设置，结合实际，延续在全市范围内加强艺术项目统筹布局，其中，中西器乐（含管乐、弦乐）、合唱、舞蹈、戏剧（含戏曲、影视、朗诵）及美术（含书画、篆刻、设计）5个项目为各区必选的布局项目（以下简称“重点项目”），在项目遴选中，充分关注中华优秀传统文化项目，弘扬中华美育精神，坚定文化自信。</w:t>
      </w:r>
    </w:p>
    <w:p w14:paraId="447098FF">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第十条（项目布局单位）</w:t>
      </w:r>
    </w:p>
    <w:p w14:paraId="4B187942">
      <w:pPr>
        <w:widowControl/>
        <w:adjustRightInd w:val="0"/>
        <w:snapToGrid w:val="0"/>
        <w:spacing w:line="600" w:lineRule="exact"/>
        <w:ind w:firstLine="600" w:firstLineChars="200"/>
        <w:rPr>
          <w:rFonts w:hint="eastAsia" w:ascii="仿宋_GB2312" w:eastAsia="仿宋_GB2312" w:cs="Calibri"/>
          <w:strike/>
          <w:sz w:val="30"/>
          <w:szCs w:val="30"/>
        </w:rPr>
      </w:pPr>
      <w:r>
        <w:rPr>
          <w:rFonts w:hint="eastAsia" w:ascii="仿宋_GB2312" w:eastAsia="仿宋_GB2312" w:cs="Calibri"/>
          <w:sz w:val="30"/>
          <w:szCs w:val="30"/>
        </w:rPr>
        <w:t>按照青少年身心成长规律和艺术教育规律，本市加强不同学段学校间艺术项目布局统筹，以实现承担各重点项目及推进项目布局建设任务的学校覆盖各学段，且不同学段学校间数量比例适当。原则上，由1所市实验性示范性</w:t>
      </w:r>
      <w:r>
        <w:rPr>
          <w:rFonts w:hint="eastAsia" w:ascii="仿宋_GB2312" w:eastAsia="仿宋_GB2312" w:cs="Calibri"/>
          <w:bCs/>
          <w:iCs/>
          <w:sz w:val="30"/>
          <w:szCs w:val="30"/>
        </w:rPr>
        <w:t>高中阶段学校按照项目</w:t>
      </w:r>
      <w:r>
        <w:rPr>
          <w:rFonts w:hint="eastAsia" w:ascii="仿宋_GB2312" w:eastAsia="仿宋_GB2312" w:cs="Calibri"/>
          <w:sz w:val="30"/>
          <w:szCs w:val="30"/>
        </w:rPr>
        <w:t>与至少2-3所初中、4-6所小学共同组成一个基本的学校艺术项目“一条龙”布局单位。在组织领导、课程建设、师资配备、艺术团训练展演、场地设施、科研及评价等方面形成相关项目的高品质、系统性供给，促进实现各学段间培养的有序衔接。</w:t>
      </w:r>
    </w:p>
    <w:p w14:paraId="3F75B067">
      <w:pPr>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第十一条（项目布局学校）</w:t>
      </w:r>
    </w:p>
    <w:p w14:paraId="78FBCDF6">
      <w:pPr>
        <w:adjustRightInd w:val="0"/>
        <w:snapToGrid w:val="0"/>
        <w:spacing w:line="600" w:lineRule="exact"/>
        <w:ind w:firstLine="600" w:firstLineChars="200"/>
        <w:rPr>
          <w:rFonts w:hint="eastAsia" w:ascii="仿宋_GB2312" w:eastAsia="仿宋_GB2312" w:cs="Calibri"/>
          <w:sz w:val="30"/>
          <w:szCs w:val="30"/>
        </w:rPr>
      </w:pPr>
      <w:r>
        <w:rPr>
          <w:rFonts w:hint="eastAsia" w:ascii="仿宋_GB2312" w:eastAsia="仿宋_GB2312" w:cs="Calibri"/>
          <w:sz w:val="30"/>
          <w:szCs w:val="30"/>
        </w:rPr>
        <w:t>原则上每个区应确定不少于5所</w:t>
      </w:r>
      <w:r>
        <w:rPr>
          <w:rFonts w:hint="eastAsia" w:ascii="仿宋_GB2312" w:eastAsia="仿宋_GB2312" w:cs="Calibri"/>
          <w:bCs/>
          <w:iCs/>
          <w:sz w:val="30"/>
          <w:szCs w:val="30"/>
        </w:rPr>
        <w:t>市实验性示范性高中，每校承担1-2个艺术重点项目的“一条龙”布局建设任务，市实验性示范性高中不足5所学校的区，可依次在市级艺术教育特色高中阶段学校、区实验性示范性高中布局艺术项目</w:t>
      </w:r>
      <w:r>
        <w:rPr>
          <w:rFonts w:hint="eastAsia" w:ascii="仿宋_GB2312" w:eastAsia="仿宋_GB2312" w:cs="Calibri"/>
          <w:sz w:val="30"/>
          <w:szCs w:val="30"/>
        </w:rPr>
        <w:t>。市教委委属高中学校项目布局建设工作原则上纳入属地管理。中等职业学校的项目布局工作由市、区两级按管理权限分别组织开展。“一条龙”单位中的初中和小学，由各区结合实际统筹安排。项目布局应尽量覆盖所有初中和小学。有条件的中小学校分校可独立承担项目的布局任务。</w:t>
      </w:r>
    </w:p>
    <w:p w14:paraId="54E33FE7">
      <w:pPr>
        <w:widowControl/>
        <w:adjustRightInd w:val="0"/>
        <w:snapToGrid w:val="0"/>
        <w:spacing w:line="600" w:lineRule="exact"/>
        <w:rPr>
          <w:rFonts w:eastAsia="仿宋_GB2312" w:cs="Calibri"/>
          <w:sz w:val="30"/>
          <w:szCs w:val="30"/>
        </w:rPr>
      </w:pPr>
    </w:p>
    <w:p w14:paraId="47ADF5D2">
      <w:pPr>
        <w:keepNext/>
        <w:keepLines/>
        <w:widowControl/>
        <w:adjustRightInd w:val="0"/>
        <w:snapToGrid w:val="0"/>
        <w:spacing w:line="600" w:lineRule="exact"/>
        <w:jc w:val="center"/>
        <w:outlineLvl w:val="1"/>
        <w:rPr>
          <w:rFonts w:ascii="等线 Light" w:hAnsi="等线 Light" w:eastAsia="黑体"/>
          <w:bCs/>
          <w:sz w:val="30"/>
          <w:szCs w:val="30"/>
        </w:rPr>
      </w:pPr>
      <w:r>
        <w:rPr>
          <w:rFonts w:ascii="等线 Light" w:hAnsi="等线 Light" w:eastAsia="黑体"/>
          <w:bCs/>
          <w:sz w:val="30"/>
          <w:szCs w:val="30"/>
        </w:rPr>
        <w:t xml:space="preserve">第四章  </w:t>
      </w:r>
      <w:r>
        <w:rPr>
          <w:rFonts w:hint="eastAsia" w:ascii="等线 Light" w:hAnsi="等线 Light" w:eastAsia="黑体"/>
          <w:bCs/>
          <w:sz w:val="30"/>
          <w:szCs w:val="30"/>
        </w:rPr>
        <w:t>构建</w:t>
      </w:r>
      <w:r>
        <w:rPr>
          <w:rFonts w:ascii="等线 Light" w:hAnsi="等线 Light" w:eastAsia="黑体"/>
          <w:bCs/>
          <w:sz w:val="30"/>
          <w:szCs w:val="30"/>
        </w:rPr>
        <w:t>形成衔接有序</w:t>
      </w:r>
      <w:r>
        <w:rPr>
          <w:rFonts w:hint="eastAsia" w:ascii="等线 Light" w:hAnsi="等线 Light" w:eastAsia="黑体"/>
          <w:bCs/>
          <w:sz w:val="30"/>
          <w:szCs w:val="30"/>
        </w:rPr>
        <w:t>的</w:t>
      </w:r>
      <w:r>
        <w:rPr>
          <w:rFonts w:ascii="等线 Light" w:hAnsi="等线 Light" w:eastAsia="黑体"/>
          <w:bCs/>
          <w:sz w:val="30"/>
          <w:szCs w:val="30"/>
        </w:rPr>
        <w:t>人才培养体系</w:t>
      </w:r>
    </w:p>
    <w:p w14:paraId="574AD822">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第十二条（人才培养目标）</w:t>
      </w:r>
    </w:p>
    <w:p w14:paraId="69BE84B3">
      <w:pPr>
        <w:widowControl/>
        <w:adjustRightInd w:val="0"/>
        <w:snapToGrid w:val="0"/>
        <w:spacing w:line="600" w:lineRule="exact"/>
        <w:ind w:firstLine="560"/>
        <w:rPr>
          <w:rFonts w:eastAsia="仿宋_GB2312"/>
          <w:sz w:val="30"/>
          <w:szCs w:val="30"/>
        </w:rPr>
      </w:pPr>
      <w:r>
        <w:rPr>
          <w:rFonts w:hint="eastAsia" w:eastAsia="仿宋_GB2312"/>
          <w:sz w:val="30"/>
          <w:szCs w:val="30"/>
        </w:rPr>
        <w:t>各中小学校应坚持面向人人，深入挖掘和发挥学校艺术教育在全面育人中的重要作用，营造有利于促进青少年学生全面健康发展的校园文化氛围。应充分依托课程教学、艺术</w:t>
      </w:r>
      <w:r>
        <w:rPr>
          <w:rFonts w:eastAsia="仿宋_GB2312"/>
          <w:sz w:val="30"/>
          <w:szCs w:val="30"/>
        </w:rPr>
        <w:t>实践</w:t>
      </w:r>
      <w:r>
        <w:rPr>
          <w:rFonts w:hint="eastAsia" w:eastAsia="仿宋_GB2312"/>
          <w:sz w:val="30"/>
          <w:szCs w:val="30"/>
        </w:rPr>
        <w:t>、艺术展演等载体，培养和激发学生的艺术</w:t>
      </w:r>
      <w:r>
        <w:rPr>
          <w:rFonts w:eastAsia="仿宋_GB2312"/>
          <w:sz w:val="30"/>
          <w:szCs w:val="30"/>
        </w:rPr>
        <w:t>爱好和</w:t>
      </w:r>
      <w:r>
        <w:rPr>
          <w:rFonts w:hint="eastAsia" w:eastAsia="仿宋_GB2312"/>
          <w:sz w:val="30"/>
          <w:szCs w:val="30"/>
        </w:rPr>
        <w:t>兴趣。各“一条龙”学校应把做好相关建设布局任务作为深入推进学校艺术教育改革发展，全面提升全体学生审美和人文</w:t>
      </w:r>
      <w:r>
        <w:rPr>
          <w:rFonts w:eastAsia="仿宋_GB2312"/>
          <w:sz w:val="30"/>
          <w:szCs w:val="30"/>
        </w:rPr>
        <w:t>素养</w:t>
      </w:r>
      <w:r>
        <w:rPr>
          <w:rFonts w:hint="eastAsia" w:eastAsia="仿宋_GB2312"/>
          <w:sz w:val="30"/>
          <w:szCs w:val="30"/>
        </w:rPr>
        <w:t>的重要举措，纳入学校艺术工作全局进行规划和推进。同时，做好不同学段学校间艺术</w:t>
      </w:r>
      <w:r>
        <w:rPr>
          <w:rFonts w:eastAsia="仿宋_GB2312"/>
          <w:sz w:val="30"/>
          <w:szCs w:val="30"/>
        </w:rPr>
        <w:t>骨干</w:t>
      </w:r>
      <w:r>
        <w:rPr>
          <w:rFonts w:hint="eastAsia" w:eastAsia="仿宋_GB2312"/>
          <w:sz w:val="30"/>
          <w:szCs w:val="30"/>
        </w:rPr>
        <w:t>学生培养和衔接等工作。</w:t>
      </w:r>
    </w:p>
    <w:p w14:paraId="3E896F1E">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第十三条（高中阶段学校学生培养与管理）</w:t>
      </w:r>
    </w:p>
    <w:p w14:paraId="6B47CE74">
      <w:pPr>
        <w:widowControl/>
        <w:adjustRightInd w:val="0"/>
        <w:snapToGrid w:val="0"/>
        <w:spacing w:line="600" w:lineRule="exact"/>
        <w:ind w:firstLine="560"/>
        <w:rPr>
          <w:rFonts w:hint="eastAsia" w:ascii="仿宋_GB2312" w:eastAsia="仿宋_GB2312"/>
          <w:sz w:val="30"/>
          <w:szCs w:val="30"/>
        </w:rPr>
      </w:pPr>
      <w:r>
        <w:rPr>
          <w:rFonts w:hint="eastAsia" w:ascii="仿宋_GB2312" w:eastAsia="仿宋_GB2312"/>
          <w:sz w:val="30"/>
          <w:szCs w:val="30"/>
        </w:rPr>
        <w:t>高中阶段学校要积极探索大中小衔接的跨学段艺术教育，形成“特色共建、理念共融、资源共享、发展并进”的美育创新发展模式。充分发挥“一条龙”高中阶段学校的示范引领和辐射带动效应，探索艺术综合课程的有效实施，挖掘各学科的美育因素，帮助高中阶段学生</w:t>
      </w:r>
      <w:r>
        <w:rPr>
          <w:rFonts w:hint="eastAsia" w:ascii="仿宋_GB2312" w:eastAsia="仿宋_GB2312" w:cs="Calibri"/>
          <w:sz w:val="30"/>
          <w:szCs w:val="30"/>
        </w:rPr>
        <w:t>艺术爱好和艺术特长的形成</w:t>
      </w:r>
      <w:r>
        <w:rPr>
          <w:rFonts w:hint="eastAsia" w:ascii="仿宋_GB2312" w:eastAsia="仿宋_GB2312"/>
          <w:sz w:val="30"/>
          <w:szCs w:val="30"/>
        </w:rPr>
        <w:t>。中等职业学校要强化艺术实践，注重与专业课程有机结合，使学生成为具有审美修养的高素质技能人才。</w:t>
      </w:r>
    </w:p>
    <w:p w14:paraId="6D4249E2">
      <w:pPr>
        <w:widowControl/>
        <w:adjustRightInd w:val="0"/>
        <w:snapToGrid w:val="0"/>
        <w:spacing w:line="600" w:lineRule="exact"/>
        <w:ind w:firstLine="600" w:firstLineChars="200"/>
        <w:rPr>
          <w:rFonts w:hint="eastAsia" w:ascii="仿宋_GB2312" w:eastAsia="仿宋_GB2312" w:cs="Calibri"/>
          <w:strike/>
          <w:sz w:val="30"/>
          <w:szCs w:val="30"/>
        </w:rPr>
      </w:pPr>
      <w:r>
        <w:rPr>
          <w:rFonts w:hint="eastAsia" w:ascii="仿宋_GB2312" w:eastAsia="仿宋_GB2312"/>
          <w:sz w:val="30"/>
          <w:szCs w:val="30"/>
        </w:rPr>
        <w:t>为进一步做好各学段学校间人才培养的衔接工作，促进形成有效衔接的人才培养体系，为青少年综合素质的持续提升提供有力保障，本市进一步完善艺术骨干学生高中阶段培养机制。</w:t>
      </w:r>
      <w:r>
        <w:rPr>
          <w:rFonts w:hint="eastAsia" w:ascii="仿宋_GB2312" w:eastAsia="仿宋_GB2312" w:cs="Calibri"/>
          <w:sz w:val="30"/>
          <w:szCs w:val="30"/>
        </w:rPr>
        <w:t>各“一条龙”高中阶段学校对按照择优原则通过艺术专业测试且初中学业水平考试成绩达到一定要求的艺术骨干学生按计划足额录取。其中，市实验性示范性高中招收艺术骨干学生的录取分数线达到当年度普通高中自主招生批次最低控制分数线，其他高中阶段学校录取分数线不低于当年度相应录取批次最低控制分数线。艺术骨干学生投档录取工作在自主招生批次完成。</w:t>
      </w:r>
    </w:p>
    <w:p w14:paraId="700D886E">
      <w:pPr>
        <w:widowControl/>
        <w:adjustRightInd w:val="0"/>
        <w:snapToGrid w:val="0"/>
        <w:spacing w:line="600" w:lineRule="exact"/>
        <w:ind w:firstLine="600" w:firstLineChars="200"/>
        <w:rPr>
          <w:rFonts w:hint="eastAsia" w:ascii="仿宋_GB2312" w:eastAsia="仿宋_GB2312"/>
          <w:sz w:val="30"/>
          <w:szCs w:val="30"/>
        </w:rPr>
      </w:pPr>
      <w:r>
        <w:rPr>
          <w:rFonts w:hint="eastAsia" w:ascii="仿宋_GB2312" w:eastAsia="仿宋_GB2312" w:cs="Calibri"/>
          <w:sz w:val="30"/>
          <w:szCs w:val="30"/>
        </w:rPr>
        <w:t>“一条龙”高中阶段学校艺术骨干学生一定比例的招生计划分配到同一“一条龙”布局单位内的初中学校。本市</w:t>
      </w:r>
      <w:r>
        <w:rPr>
          <w:rFonts w:hint="eastAsia" w:ascii="仿宋_GB2312" w:eastAsia="仿宋_GB2312"/>
          <w:sz w:val="30"/>
          <w:szCs w:val="30"/>
        </w:rPr>
        <w:t>全面加强艺术骨干学生管理和培养，实行注册管理制度，参加日常艺术实践及艺术展演等情况纳入综合素质评价等指标体系。</w:t>
      </w:r>
    </w:p>
    <w:p w14:paraId="7057BAE6">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第十四条（义务教育阶段学校学生培养与管理）</w:t>
      </w:r>
    </w:p>
    <w:p w14:paraId="16668C4D">
      <w:pPr>
        <w:widowControl/>
        <w:adjustRightInd w:val="0"/>
        <w:snapToGrid w:val="0"/>
        <w:spacing w:line="600" w:lineRule="exact"/>
        <w:ind w:firstLine="560"/>
        <w:rPr>
          <w:rFonts w:hint="eastAsia" w:ascii="仿宋_GB2312" w:eastAsia="仿宋_GB2312" w:cs="Calibri"/>
          <w:sz w:val="30"/>
          <w:szCs w:val="30"/>
        </w:rPr>
      </w:pPr>
      <w:r>
        <w:rPr>
          <w:rFonts w:hint="eastAsia" w:ascii="仿宋_GB2312" w:eastAsia="仿宋_GB2312" w:cs="Calibri"/>
          <w:sz w:val="30"/>
          <w:szCs w:val="30"/>
        </w:rPr>
        <w:t>义务教育阶段学校要注重激发学生艺术学习兴趣，打造艺术课程活力课堂，激发学生积极性，提高参与度，展现学生自信和风采。学校积极提供多样化、个性化的艺术选修课程和课后服务，帮助学生通过在校学习掌握1-2项艺术专项特长，满足学生兴趣特长发展需要。</w:t>
      </w:r>
    </w:p>
    <w:p w14:paraId="54965CB8">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第十五条（时间安排）</w:t>
      </w:r>
    </w:p>
    <w:p w14:paraId="2DA213BC">
      <w:pPr>
        <w:widowControl/>
        <w:adjustRightInd w:val="0"/>
        <w:snapToGrid w:val="0"/>
        <w:spacing w:line="600" w:lineRule="exact"/>
        <w:ind w:firstLine="600" w:firstLineChars="200"/>
        <w:rPr>
          <w:rFonts w:hint="eastAsia" w:ascii="仿宋_GB2312" w:eastAsia="仿宋_GB2312" w:cs="Calibri"/>
          <w:sz w:val="30"/>
          <w:szCs w:val="30"/>
        </w:rPr>
      </w:pPr>
      <w:r>
        <w:rPr>
          <w:rFonts w:hint="eastAsia" w:ascii="仿宋_GB2312" w:eastAsia="仿宋_GB2312" w:cs="Calibri"/>
          <w:sz w:val="30"/>
          <w:szCs w:val="30"/>
        </w:rPr>
        <w:t>自2025年起，各“一条龙”高中阶段学校按本办法开展艺术骨干学生的招收培养等工作。</w:t>
      </w:r>
    </w:p>
    <w:p w14:paraId="600A6FAB">
      <w:pPr>
        <w:widowControl/>
        <w:adjustRightInd w:val="0"/>
        <w:snapToGrid w:val="0"/>
        <w:spacing w:line="600" w:lineRule="exact"/>
        <w:ind w:firstLine="600" w:firstLineChars="200"/>
        <w:rPr>
          <w:rFonts w:eastAsia="仿宋_GB2312" w:cs="Calibri"/>
          <w:strike/>
          <w:sz w:val="30"/>
          <w:szCs w:val="30"/>
        </w:rPr>
      </w:pPr>
    </w:p>
    <w:p w14:paraId="783EB277">
      <w:pPr>
        <w:keepNext/>
        <w:keepLines/>
        <w:widowControl/>
        <w:adjustRightInd w:val="0"/>
        <w:snapToGrid w:val="0"/>
        <w:spacing w:line="600" w:lineRule="exact"/>
        <w:jc w:val="center"/>
        <w:outlineLvl w:val="1"/>
        <w:rPr>
          <w:rFonts w:ascii="等线 Light" w:hAnsi="等线 Light" w:eastAsia="黑体"/>
          <w:bCs/>
          <w:sz w:val="30"/>
          <w:szCs w:val="30"/>
        </w:rPr>
      </w:pPr>
      <w:r>
        <w:rPr>
          <w:rFonts w:ascii="等线 Light" w:hAnsi="等线 Light" w:eastAsia="黑体"/>
          <w:bCs/>
          <w:sz w:val="30"/>
          <w:szCs w:val="30"/>
        </w:rPr>
        <w:t>第</w:t>
      </w:r>
      <w:r>
        <w:rPr>
          <w:rFonts w:hint="eastAsia" w:ascii="等线 Light" w:hAnsi="等线 Light" w:eastAsia="黑体"/>
          <w:bCs/>
          <w:sz w:val="30"/>
          <w:szCs w:val="30"/>
        </w:rPr>
        <w:t>五</w:t>
      </w:r>
      <w:r>
        <w:rPr>
          <w:rFonts w:ascii="等线 Light" w:hAnsi="等线 Light" w:eastAsia="黑体"/>
          <w:bCs/>
          <w:sz w:val="30"/>
          <w:szCs w:val="30"/>
        </w:rPr>
        <w:t xml:space="preserve">章  </w:t>
      </w:r>
      <w:r>
        <w:rPr>
          <w:rFonts w:hint="eastAsia" w:ascii="等线 Light" w:hAnsi="等线 Light" w:eastAsia="黑体"/>
          <w:bCs/>
          <w:sz w:val="30"/>
          <w:szCs w:val="30"/>
        </w:rPr>
        <w:t>加强</w:t>
      </w:r>
      <w:r>
        <w:rPr>
          <w:rFonts w:ascii="等线 Light" w:hAnsi="等线 Light" w:eastAsia="黑体"/>
          <w:bCs/>
          <w:sz w:val="30"/>
          <w:szCs w:val="30"/>
        </w:rPr>
        <w:t>师资场地等保障</w:t>
      </w:r>
    </w:p>
    <w:p w14:paraId="66CA6661">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第十六条（师资队伍）</w:t>
      </w:r>
    </w:p>
    <w:p w14:paraId="0ED36907">
      <w:pPr>
        <w:widowControl/>
        <w:adjustRightInd w:val="0"/>
        <w:snapToGrid w:val="0"/>
        <w:spacing w:line="600" w:lineRule="exact"/>
        <w:ind w:firstLine="560"/>
        <w:rPr>
          <w:rFonts w:hint="eastAsia" w:ascii="仿宋_GB2312" w:eastAsia="仿宋_GB2312" w:cs="Calibri"/>
          <w:sz w:val="30"/>
          <w:szCs w:val="30"/>
        </w:rPr>
      </w:pPr>
      <w:r>
        <w:rPr>
          <w:rFonts w:hint="eastAsia" w:ascii="仿宋_GB2312" w:eastAsia="仿宋_GB2312" w:cs="Calibri"/>
          <w:sz w:val="30"/>
          <w:szCs w:val="30"/>
        </w:rPr>
        <w:t>配齐配足学校艺术教师并通过跨项目培训、交流研讨等多种途径不断提升专业能力。鼓励有一定专长或基础的学科教师“一岗多能”，通过培训承担部分艺术项目的排练和指导等工作，对艺术教师队伍形成有益补充。</w:t>
      </w:r>
      <w:r>
        <w:rPr>
          <w:rFonts w:hint="eastAsia" w:ascii="仿宋_GB2312" w:eastAsia="仿宋_GB2312"/>
          <w:sz w:val="30"/>
          <w:szCs w:val="30"/>
        </w:rPr>
        <w:t>学校教师承担艺术实践和艺术展演排练指导等的工作量按不低于艺术相关课程的标准折算成一定课时，相关薪酬纳入区统筹范围。完善艺术教师工作量核算、薪酬待遇、职称发展以及管理办法，将排练和指导等工作量纳入考核评价范围并根据学生成绩等情况给予一定的奖励。</w:t>
      </w:r>
    </w:p>
    <w:p w14:paraId="1C8ED526">
      <w:pPr>
        <w:widowControl/>
        <w:adjustRightInd w:val="0"/>
        <w:snapToGrid w:val="0"/>
        <w:spacing w:line="600" w:lineRule="exact"/>
        <w:ind w:firstLine="560"/>
        <w:rPr>
          <w:rFonts w:hint="eastAsia" w:ascii="仿宋_GB2312" w:eastAsia="仿宋_GB2312" w:cs="Calibri"/>
          <w:sz w:val="30"/>
          <w:szCs w:val="30"/>
        </w:rPr>
      </w:pPr>
      <w:r>
        <w:rPr>
          <w:rFonts w:hint="eastAsia" w:ascii="仿宋_GB2312" w:eastAsia="仿宋_GB2312" w:cs="Calibri"/>
          <w:sz w:val="30"/>
          <w:szCs w:val="30"/>
        </w:rPr>
        <w:t>推进实施兼职教师进校园工作，引进高校、高水平演职人员、文化名家到校开展专业指导，形成一支专兼职结合的高水平艺术教师队伍。</w:t>
      </w:r>
    </w:p>
    <w:p w14:paraId="59FDD2EC">
      <w:pPr>
        <w:widowControl/>
        <w:adjustRightInd w:val="0"/>
        <w:snapToGrid w:val="0"/>
        <w:spacing w:line="600" w:lineRule="exact"/>
        <w:ind w:firstLine="560"/>
        <w:rPr>
          <w:rFonts w:hint="eastAsia" w:ascii="仿宋_GB2312" w:eastAsia="仿宋_GB2312" w:cs="Calibri"/>
          <w:sz w:val="30"/>
          <w:szCs w:val="30"/>
        </w:rPr>
      </w:pPr>
    </w:p>
    <w:p w14:paraId="27BF0951">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第十七条（场地设施）</w:t>
      </w:r>
    </w:p>
    <w:p w14:paraId="49B8B274">
      <w:pPr>
        <w:widowControl/>
        <w:adjustRightInd w:val="0"/>
        <w:snapToGrid w:val="0"/>
        <w:spacing w:line="600" w:lineRule="exact"/>
        <w:ind w:firstLine="560"/>
        <w:rPr>
          <w:rFonts w:hint="eastAsia" w:ascii="仿宋_GB2312" w:eastAsia="仿宋_GB2312" w:cs="Calibri"/>
          <w:sz w:val="30"/>
          <w:szCs w:val="30"/>
        </w:rPr>
      </w:pPr>
      <w:r>
        <w:rPr>
          <w:rFonts w:hint="eastAsia" w:ascii="仿宋_GB2312" w:eastAsia="仿宋_GB2312" w:cs="Calibri"/>
          <w:sz w:val="30"/>
          <w:szCs w:val="30"/>
        </w:rPr>
        <w:t>各中小学校应加强学校艺术实践和艺术展演场地、场馆、专用教室、设施设备的建设和改造，满足全校性普及艺术教育和艺术骨干学生艺术教育教学需求，为学生进行艺术项目学习创造有利条件。加强与市、区各级各类排练厅、演出展出等场馆的交流合作，引入优质文化艺术资源。完善场馆资源共享机制，鼓励有条件的艺术场馆向“一条龙”学校开放共享。</w:t>
      </w:r>
    </w:p>
    <w:p w14:paraId="7395500B">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第十八条（经费投入）</w:t>
      </w:r>
    </w:p>
    <w:p w14:paraId="383F2972">
      <w:pPr>
        <w:widowControl/>
        <w:adjustRightInd w:val="0"/>
        <w:snapToGrid w:val="0"/>
        <w:spacing w:line="600" w:lineRule="exact"/>
        <w:ind w:firstLine="560"/>
        <w:rPr>
          <w:rFonts w:hint="eastAsia" w:ascii="仿宋_GB2312" w:eastAsia="仿宋_GB2312" w:cs="Calibri"/>
          <w:sz w:val="30"/>
          <w:szCs w:val="30"/>
        </w:rPr>
      </w:pPr>
      <w:r>
        <w:rPr>
          <w:rFonts w:hint="eastAsia" w:ascii="仿宋_GB2312" w:eastAsia="仿宋_GB2312" w:cs="Calibri"/>
          <w:sz w:val="30"/>
          <w:szCs w:val="30"/>
        </w:rPr>
        <w:t>完善学校艺术教育发展经费长效投入保障机制，将“一条龙”学校开展相关项目教学、师资培训、科研、艺术实践和艺术展演场地建设等所需经费纳入财政预算予以保障。</w:t>
      </w:r>
    </w:p>
    <w:p w14:paraId="37223B99">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第十九条（安全保障）</w:t>
      </w:r>
    </w:p>
    <w:p w14:paraId="62CECD1A">
      <w:pPr>
        <w:widowControl/>
        <w:adjustRightInd w:val="0"/>
        <w:snapToGrid w:val="0"/>
        <w:spacing w:line="600" w:lineRule="exact"/>
        <w:ind w:firstLine="560"/>
        <w:rPr>
          <w:rFonts w:eastAsia="仿宋_GB2312" w:cs="Calibri"/>
          <w:sz w:val="30"/>
          <w:szCs w:val="30"/>
        </w:rPr>
      </w:pPr>
      <w:r>
        <w:rPr>
          <w:rFonts w:hint="eastAsia" w:eastAsia="仿宋_GB2312" w:cs="Calibri"/>
          <w:sz w:val="30"/>
          <w:szCs w:val="30"/>
        </w:rPr>
        <w:t>各</w:t>
      </w:r>
      <w:r>
        <w:rPr>
          <w:rFonts w:eastAsia="仿宋_GB2312" w:cs="Calibri"/>
          <w:sz w:val="30"/>
          <w:szCs w:val="30"/>
        </w:rPr>
        <w:t>中小学</w:t>
      </w:r>
      <w:r>
        <w:rPr>
          <w:rFonts w:hint="eastAsia" w:eastAsia="仿宋_GB2312" w:cs="Calibri"/>
          <w:sz w:val="30"/>
          <w:szCs w:val="30"/>
        </w:rPr>
        <w:t>校</w:t>
      </w:r>
      <w:r>
        <w:rPr>
          <w:rFonts w:eastAsia="仿宋_GB2312" w:cs="Calibri"/>
          <w:sz w:val="30"/>
          <w:szCs w:val="30"/>
        </w:rPr>
        <w:t>要</w:t>
      </w:r>
      <w:r>
        <w:rPr>
          <w:rFonts w:hint="eastAsia" w:eastAsia="仿宋_GB2312" w:cs="Calibri"/>
          <w:sz w:val="30"/>
          <w:szCs w:val="30"/>
        </w:rPr>
        <w:t>做好</w:t>
      </w:r>
      <w:r>
        <w:rPr>
          <w:rFonts w:eastAsia="仿宋_GB2312" w:cs="Calibri"/>
          <w:sz w:val="30"/>
          <w:szCs w:val="30"/>
        </w:rPr>
        <w:t>艺术实践</w:t>
      </w:r>
      <w:r>
        <w:rPr>
          <w:rFonts w:hint="eastAsia" w:eastAsia="仿宋_GB2312" w:cs="Calibri"/>
          <w:sz w:val="30"/>
          <w:szCs w:val="30"/>
        </w:rPr>
        <w:t>、</w:t>
      </w:r>
      <w:r>
        <w:rPr>
          <w:rFonts w:eastAsia="仿宋_GB2312" w:cs="Calibri"/>
          <w:sz w:val="30"/>
          <w:szCs w:val="30"/>
        </w:rPr>
        <w:t>艺术展演的安全保障工作，</w:t>
      </w:r>
      <w:r>
        <w:rPr>
          <w:rFonts w:hint="eastAsia" w:eastAsia="仿宋_GB2312" w:cs="Calibri"/>
          <w:sz w:val="30"/>
          <w:szCs w:val="30"/>
        </w:rPr>
        <w:t>加强</w:t>
      </w:r>
      <w:r>
        <w:rPr>
          <w:rFonts w:eastAsia="仿宋_GB2312" w:cs="Calibri"/>
          <w:sz w:val="30"/>
          <w:szCs w:val="30"/>
        </w:rPr>
        <w:t>学生安全教育</w:t>
      </w:r>
      <w:r>
        <w:rPr>
          <w:rFonts w:hint="eastAsia" w:eastAsia="仿宋_GB2312" w:cs="Calibri"/>
          <w:sz w:val="30"/>
          <w:szCs w:val="30"/>
        </w:rPr>
        <w:t>和</w:t>
      </w:r>
      <w:r>
        <w:rPr>
          <w:rFonts w:eastAsia="仿宋_GB2312" w:cs="Calibri"/>
          <w:sz w:val="30"/>
          <w:szCs w:val="30"/>
        </w:rPr>
        <w:t>艺术实践场地设施安全检查，</w:t>
      </w:r>
      <w:r>
        <w:rPr>
          <w:rFonts w:hint="eastAsia" w:eastAsia="仿宋_GB2312" w:cs="Calibri"/>
          <w:sz w:val="30"/>
          <w:szCs w:val="30"/>
        </w:rPr>
        <w:t>依托</w:t>
      </w:r>
      <w:r>
        <w:rPr>
          <w:rFonts w:eastAsia="仿宋_GB2312" w:cs="Calibri"/>
          <w:sz w:val="30"/>
          <w:szCs w:val="30"/>
        </w:rPr>
        <w:t>校园综合险等具体措施，不断</w:t>
      </w:r>
      <w:r>
        <w:rPr>
          <w:rFonts w:hint="eastAsia" w:eastAsia="仿宋_GB2312" w:cs="Calibri"/>
          <w:sz w:val="30"/>
          <w:szCs w:val="30"/>
        </w:rPr>
        <w:t>健全</w:t>
      </w:r>
      <w:r>
        <w:rPr>
          <w:rFonts w:eastAsia="仿宋_GB2312" w:cs="Calibri"/>
          <w:sz w:val="30"/>
          <w:szCs w:val="30"/>
        </w:rPr>
        <w:t>和完善</w:t>
      </w:r>
      <w:r>
        <w:rPr>
          <w:rFonts w:hint="eastAsia" w:eastAsia="仿宋_GB2312" w:cs="Calibri"/>
          <w:sz w:val="30"/>
          <w:szCs w:val="30"/>
        </w:rPr>
        <w:t>学生艺术</w:t>
      </w:r>
      <w:r>
        <w:rPr>
          <w:rFonts w:eastAsia="仿宋_GB2312" w:cs="Calibri"/>
          <w:sz w:val="30"/>
          <w:szCs w:val="30"/>
        </w:rPr>
        <w:t>实践、展演</w:t>
      </w:r>
      <w:r>
        <w:rPr>
          <w:rFonts w:hint="eastAsia" w:eastAsia="仿宋_GB2312" w:cs="Calibri"/>
          <w:sz w:val="30"/>
          <w:szCs w:val="30"/>
        </w:rPr>
        <w:t>活动</w:t>
      </w:r>
      <w:r>
        <w:rPr>
          <w:rFonts w:eastAsia="仿宋_GB2312" w:cs="Calibri"/>
          <w:sz w:val="30"/>
          <w:szCs w:val="30"/>
        </w:rPr>
        <w:t>意外伤害预防</w:t>
      </w:r>
      <w:r>
        <w:rPr>
          <w:rFonts w:hint="eastAsia" w:eastAsia="仿宋_GB2312" w:cs="Calibri"/>
          <w:sz w:val="30"/>
          <w:szCs w:val="30"/>
        </w:rPr>
        <w:t>、</w:t>
      </w:r>
      <w:r>
        <w:rPr>
          <w:rFonts w:eastAsia="仿宋_GB2312" w:cs="Calibri"/>
          <w:sz w:val="30"/>
          <w:szCs w:val="30"/>
        </w:rPr>
        <w:t>应急处理和安全保障机制。</w:t>
      </w:r>
    </w:p>
    <w:p w14:paraId="718240E2">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第二十条（社会支持）</w:t>
      </w:r>
    </w:p>
    <w:p w14:paraId="2FCB6E04">
      <w:pPr>
        <w:widowControl/>
        <w:adjustRightInd w:val="0"/>
        <w:snapToGrid w:val="0"/>
        <w:spacing w:line="600" w:lineRule="exact"/>
        <w:ind w:firstLine="560"/>
        <w:rPr>
          <w:rFonts w:hint="eastAsia" w:ascii="仿宋_GB2312" w:hAnsi="微软雅黑" w:eastAsia="仿宋_GB2312" w:cs="微软雅黑"/>
          <w:sz w:val="30"/>
          <w:szCs w:val="30"/>
        </w:rPr>
      </w:pPr>
      <w:r>
        <w:rPr>
          <w:rFonts w:hint="eastAsia" w:ascii="仿宋_GB2312" w:eastAsia="仿宋_GB2312" w:cs="Calibri"/>
          <w:sz w:val="30"/>
          <w:szCs w:val="30"/>
        </w:rPr>
        <w:t>鼓励本市各高校、专业团体、艺术教育协会、学生艺术团联盟等结合实际，为中小学校开展艺术教学、艺术实践、艺术展演、人才培养等工作提供指导和支持。</w:t>
      </w:r>
      <w:r>
        <w:rPr>
          <w:rFonts w:hint="eastAsia" w:ascii="仿宋_GB2312" w:eastAsia="仿宋_GB2312" w:cs="Calibri"/>
          <w:bCs/>
          <w:iCs/>
          <w:sz w:val="30"/>
          <w:szCs w:val="30"/>
        </w:rPr>
        <w:t>在各区“一条龙”项目建设过程中，发挥区青少年活动中心（少年宫、少科站）自身优势，强化统筹、指导功能。</w:t>
      </w:r>
    </w:p>
    <w:p w14:paraId="54EDCC64">
      <w:pPr>
        <w:widowControl/>
        <w:adjustRightInd w:val="0"/>
        <w:snapToGrid w:val="0"/>
        <w:spacing w:line="600" w:lineRule="exact"/>
        <w:ind w:left="630" w:leftChars="300"/>
        <w:outlineLvl w:val="1"/>
        <w:rPr>
          <w:rFonts w:hint="eastAsia" w:ascii="楷体_GB2312" w:hAnsi="Cambria" w:eastAsia="楷体_GB2312"/>
          <w:b/>
          <w:bCs/>
          <w:sz w:val="30"/>
          <w:szCs w:val="30"/>
        </w:rPr>
      </w:pPr>
      <w:r>
        <w:rPr>
          <w:rFonts w:hint="eastAsia" w:ascii="楷体_GB2312" w:hAnsi="Cambria" w:eastAsia="楷体_GB2312"/>
          <w:b/>
          <w:bCs/>
          <w:sz w:val="30"/>
          <w:szCs w:val="30"/>
        </w:rPr>
        <w:t>第二十一条（</w:t>
      </w:r>
      <w:r>
        <w:rPr>
          <w:rFonts w:hint="eastAsia" w:ascii="楷体_GB2312" w:hAnsi="Cambria" w:eastAsia="楷体_GB2312"/>
          <w:b/>
          <w:bCs/>
          <w:sz w:val="30"/>
          <w:szCs w:val="30"/>
          <w:lang w:bidi="ar"/>
        </w:rPr>
        <w:t>年度报告</w:t>
      </w:r>
      <w:r>
        <w:rPr>
          <w:rFonts w:hint="eastAsia" w:ascii="楷体_GB2312" w:hAnsi="Cambria" w:eastAsia="楷体_GB2312"/>
          <w:b/>
          <w:bCs/>
          <w:sz w:val="30"/>
          <w:szCs w:val="30"/>
        </w:rPr>
        <w:t>）</w:t>
      </w:r>
    </w:p>
    <w:p w14:paraId="5F06E657">
      <w:pPr>
        <w:widowControl/>
        <w:adjustRightInd w:val="0"/>
        <w:snapToGrid w:val="0"/>
        <w:spacing w:line="600" w:lineRule="exact"/>
        <w:ind w:firstLine="560"/>
        <w:rPr>
          <w:rFonts w:eastAsia="仿宋_GB2312" w:cs="Calibri"/>
          <w:sz w:val="30"/>
          <w:szCs w:val="30"/>
        </w:rPr>
      </w:pPr>
      <w:r>
        <w:rPr>
          <w:rFonts w:hint="eastAsia" w:eastAsia="仿宋_GB2312" w:cs="Calibri"/>
          <w:sz w:val="30"/>
          <w:szCs w:val="30"/>
          <w:lang w:bidi="ar"/>
        </w:rPr>
        <w:t>中小学依据课程标准组织全员艺术素质测评，完善初</w:t>
      </w:r>
      <w:r>
        <w:rPr>
          <w:rFonts w:hint="eastAsia" w:eastAsia="仿宋_GB2312"/>
          <w:sz w:val="30"/>
          <w:szCs w:val="30"/>
          <w:lang w:bidi="ar"/>
        </w:rPr>
        <w:t>、</w:t>
      </w:r>
      <w:r>
        <w:rPr>
          <w:rFonts w:hint="eastAsia" w:eastAsia="仿宋_GB2312" w:cs="Calibri"/>
          <w:sz w:val="30"/>
          <w:szCs w:val="30"/>
          <w:lang w:bidi="ar"/>
        </w:rPr>
        <w:t>高中艺术科目学业水平考核，将美育评价纳入学生综合素质档案。各区要实施学校美育工作自评和年度报告制度，探索具有中国特色的学校美育评价制度。</w:t>
      </w:r>
    </w:p>
    <w:p w14:paraId="3D1AEDBF">
      <w:pPr>
        <w:widowControl/>
        <w:adjustRightInd w:val="0"/>
        <w:snapToGrid w:val="0"/>
        <w:spacing w:line="600" w:lineRule="exact"/>
        <w:rPr>
          <w:rFonts w:eastAsia="仿宋_GB2312" w:cs="Calibri"/>
          <w:sz w:val="30"/>
          <w:szCs w:val="30"/>
        </w:rPr>
      </w:pPr>
    </w:p>
    <w:p w14:paraId="536A15A5">
      <w:pPr>
        <w:keepNext/>
        <w:keepLines/>
        <w:widowControl/>
        <w:adjustRightInd w:val="0"/>
        <w:snapToGrid w:val="0"/>
        <w:spacing w:line="600" w:lineRule="exact"/>
        <w:jc w:val="center"/>
        <w:outlineLvl w:val="1"/>
        <w:rPr>
          <w:rFonts w:ascii="等线 Light" w:hAnsi="等线 Light" w:eastAsia="黑体"/>
          <w:bCs/>
          <w:sz w:val="30"/>
          <w:szCs w:val="30"/>
        </w:rPr>
      </w:pPr>
      <w:r>
        <w:rPr>
          <w:rFonts w:ascii="等线 Light" w:hAnsi="等线 Light" w:eastAsia="黑体"/>
          <w:bCs/>
          <w:sz w:val="30"/>
          <w:szCs w:val="30"/>
        </w:rPr>
        <w:t>第</w:t>
      </w:r>
      <w:r>
        <w:rPr>
          <w:rFonts w:hint="eastAsia" w:ascii="等线 Light" w:hAnsi="等线 Light" w:eastAsia="黑体"/>
          <w:bCs/>
          <w:sz w:val="30"/>
          <w:szCs w:val="30"/>
        </w:rPr>
        <w:t>六</w:t>
      </w:r>
      <w:r>
        <w:rPr>
          <w:rFonts w:ascii="等线 Light" w:hAnsi="等线 Light" w:eastAsia="黑体"/>
          <w:bCs/>
          <w:sz w:val="30"/>
          <w:szCs w:val="30"/>
        </w:rPr>
        <w:t>章  附则</w:t>
      </w:r>
    </w:p>
    <w:p w14:paraId="7346B8FC">
      <w:pPr>
        <w:widowControl/>
        <w:adjustRightInd w:val="0"/>
        <w:snapToGrid w:val="0"/>
        <w:spacing w:line="600" w:lineRule="exact"/>
        <w:ind w:firstLine="450" w:firstLineChars="150"/>
        <w:rPr>
          <w:rFonts w:hint="eastAsia" w:ascii="仿宋_GB2312" w:eastAsia="仿宋_GB2312" w:cs="Calibri"/>
          <w:sz w:val="30"/>
          <w:szCs w:val="30"/>
        </w:rPr>
      </w:pPr>
      <w:r>
        <w:rPr>
          <w:rFonts w:hint="eastAsia" w:ascii="仿宋_GB2312" w:eastAsia="仿宋_GB2312" w:cs="Calibri"/>
          <w:sz w:val="30"/>
          <w:szCs w:val="30"/>
        </w:rPr>
        <w:t>各区可参照本办法，结合实际研究制定相应的实施细则。</w:t>
      </w:r>
    </w:p>
    <w:p w14:paraId="2366609C">
      <w:pPr>
        <w:widowControl/>
        <w:adjustRightInd w:val="0"/>
        <w:snapToGrid w:val="0"/>
        <w:spacing w:line="600" w:lineRule="exact"/>
        <w:ind w:firstLine="450" w:firstLineChars="150"/>
        <w:rPr>
          <w:rFonts w:hint="eastAsia" w:ascii="仿宋_GB2312" w:eastAsia="仿宋_GB2312" w:cs="Calibri"/>
          <w:b/>
          <w:sz w:val="30"/>
          <w:szCs w:val="30"/>
        </w:rPr>
      </w:pPr>
      <w:r>
        <w:rPr>
          <w:rFonts w:hint="eastAsia" w:ascii="仿宋_GB2312" w:eastAsia="仿宋_GB2312" w:cs="Calibri"/>
          <w:sz w:val="30"/>
          <w:szCs w:val="30"/>
        </w:rPr>
        <w:t>本办法自2025年3月15日起施行，有效期为5年。</w:t>
      </w:r>
    </w:p>
    <w:p w14:paraId="6F7CF33F">
      <w:pPr>
        <w:widowControl/>
        <w:spacing w:line="560" w:lineRule="exact"/>
        <w:rPr>
          <w:rFonts w:ascii="黑体" w:eastAsia="黑体"/>
          <w:sz w:val="32"/>
        </w:rPr>
      </w:pPr>
    </w:p>
    <w:p w14:paraId="254D0E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6"/>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18"/>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17"/>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19"/>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21DAA"/>
    <w:rsid w:val="039B4426"/>
    <w:rsid w:val="048D449A"/>
    <w:rsid w:val="061D01AC"/>
    <w:rsid w:val="0C3901C1"/>
    <w:rsid w:val="0D306AF8"/>
    <w:rsid w:val="173069C1"/>
    <w:rsid w:val="21513F64"/>
    <w:rsid w:val="249C572D"/>
    <w:rsid w:val="277C64DF"/>
    <w:rsid w:val="28B54677"/>
    <w:rsid w:val="2BDB2FAA"/>
    <w:rsid w:val="2FCB11A4"/>
    <w:rsid w:val="340248EC"/>
    <w:rsid w:val="35917C0B"/>
    <w:rsid w:val="3B001968"/>
    <w:rsid w:val="3B726B30"/>
    <w:rsid w:val="3C0F2531"/>
    <w:rsid w:val="3E2E32D6"/>
    <w:rsid w:val="43A21DAA"/>
    <w:rsid w:val="45FE77D7"/>
    <w:rsid w:val="48FE20C6"/>
    <w:rsid w:val="4A036FC4"/>
    <w:rsid w:val="51EC35AD"/>
    <w:rsid w:val="54C3004D"/>
    <w:rsid w:val="58784C4E"/>
    <w:rsid w:val="687C0A24"/>
    <w:rsid w:val="6A4535DF"/>
    <w:rsid w:val="6A610371"/>
    <w:rsid w:val="6B0E7CDD"/>
    <w:rsid w:val="709A1151"/>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asciiTheme="minorAscii" w:hAnsiTheme="minorAscii"/>
      <w:b/>
      <w:kern w:val="44"/>
      <w:sz w:val="32"/>
      <w:szCs w:val="22"/>
    </w:rPr>
  </w:style>
  <w:style w:type="paragraph" w:styleId="3">
    <w:name w:val="heading 2"/>
    <w:basedOn w:val="1"/>
    <w:next w:val="1"/>
    <w:link w:val="13"/>
    <w:semiHidden/>
    <w:unhideWhenUsed/>
    <w:qFormat/>
    <w:uiPriority w:val="0"/>
    <w:pPr>
      <w:keepNext/>
      <w:keepLines/>
      <w:numPr>
        <w:ilvl w:val="1"/>
        <w:numId w:val="1"/>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4"/>
    <w:semiHidden/>
    <w:unhideWhenUsed/>
    <w:qFormat/>
    <w:uiPriority w:val="0"/>
    <w:pPr>
      <w:keepNext/>
      <w:keepLines/>
      <w:numPr>
        <w:ilvl w:val="2"/>
        <w:numId w:val="1"/>
      </w:numPr>
      <w:spacing w:before="260" w:after="260" w:line="416" w:lineRule="auto"/>
      <w:ind w:left="720" w:hanging="720"/>
      <w:outlineLvl w:val="2"/>
    </w:pPr>
    <w:rPr>
      <w:rFonts w:asciiTheme="minorAscii" w:hAnsiTheme="minorAscii"/>
      <w:b/>
      <w:bCs/>
      <w:sz w:val="32"/>
      <w:szCs w:val="32"/>
    </w:rPr>
  </w:style>
  <w:style w:type="paragraph" w:styleId="5">
    <w:name w:val="heading 4"/>
    <w:basedOn w:val="1"/>
    <w:next w:val="1"/>
    <w:link w:val="15"/>
    <w:semiHidden/>
    <w:unhideWhenUsed/>
    <w:qFormat/>
    <w:uiPriority w:val="0"/>
    <w:pPr>
      <w:keepNext/>
      <w:keepLines/>
      <w:numPr>
        <w:ilvl w:val="3"/>
        <w:numId w:val="1"/>
      </w:numPr>
      <w:spacing w:before="280" w:after="290" w:line="376" w:lineRule="auto"/>
      <w:ind w:left="864" w:hanging="864"/>
      <w:outlineLvl w:val="3"/>
    </w:pPr>
    <w:rPr>
      <w:rFonts w:asciiTheme="majorAscii" w:hAnsiTheme="majorAsci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autoRedefine/>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2 字符"/>
    <w:basedOn w:val="12"/>
    <w:link w:val="3"/>
    <w:autoRedefine/>
    <w:qFormat/>
    <w:uiPriority w:val="9"/>
    <w:rPr>
      <w:rFonts w:eastAsia="宋体" w:asciiTheme="majorAscii" w:hAnsiTheme="majorAscii" w:cstheme="majorBidi"/>
      <w:b/>
      <w:bCs/>
      <w:sz w:val="32"/>
      <w:szCs w:val="32"/>
      <w14:ligatures w14:val="standardContextual"/>
    </w:rPr>
  </w:style>
  <w:style w:type="character" w:customStyle="1" w:styleId="14">
    <w:name w:val="标题 3 字符"/>
    <w:basedOn w:val="12"/>
    <w:link w:val="4"/>
    <w:autoRedefine/>
    <w:qFormat/>
    <w:uiPriority w:val="9"/>
    <w:rPr>
      <w:rFonts w:asciiTheme="minorAscii" w:hAnsiTheme="minorAscii" w:eastAsiaTheme="minorEastAsia"/>
      <w:b/>
      <w:bCs/>
      <w:sz w:val="32"/>
      <w:szCs w:val="32"/>
    </w:rPr>
  </w:style>
  <w:style w:type="character" w:customStyle="1" w:styleId="15">
    <w:name w:val="标题 4 字符"/>
    <w:basedOn w:val="12"/>
    <w:link w:val="5"/>
    <w:autoRedefine/>
    <w:semiHidden/>
    <w:qFormat/>
    <w:uiPriority w:val="9"/>
    <w:rPr>
      <w:rFonts w:asciiTheme="majorAscii" w:hAnsiTheme="majorAscii" w:eastAsiaTheme="majorEastAsia" w:cstheme="majorBidi"/>
      <w:b/>
      <w:bCs/>
      <w:sz w:val="28"/>
      <w:szCs w:val="28"/>
    </w:rPr>
  </w:style>
  <w:style w:type="paragraph" w:customStyle="1" w:styleId="16">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17">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18">
    <w:name w:val="样式4"/>
    <w:basedOn w:val="1"/>
    <w:next w:val="1"/>
    <w:qFormat/>
    <w:uiPriority w:val="0"/>
    <w:pPr>
      <w:keepNext/>
      <w:keepLines/>
      <w:numPr>
        <w:ilvl w:val="0"/>
        <w:numId w:val="4"/>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paragraph" w:customStyle="1" w:styleId="19">
    <w:name w:val="样式5"/>
    <w:basedOn w:val="1"/>
    <w:next w:val="1"/>
    <w:qFormat/>
    <w:uiPriority w:val="0"/>
    <w:pPr>
      <w:keepNext/>
      <w:keepLines/>
      <w:numPr>
        <w:ilvl w:val="0"/>
        <w:numId w:val="5"/>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2025-03-13T01:50:00Z</dcterms:created>
  <dc:creator>向往</dc:creator>
  <cp:lastModifiedBy>向往</cp:lastModifiedBy>
  <dcterms:modified xsi:type="dcterms:W3CDTF">2025-03-13T01:50:58Z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897C9458836746DBAF0F5B25DDB5BA23_11</vt:lpwstr>
  </property>
  <property fmtid="{D5CDD505-2E9C-101B-9397-08002B2CF9AE}" pid="4" name="KSOTemplateDocerSaveRecord">
    <vt:lpwstr>eyJoZGlkIjoiNGFiZmZiYTAzZTEyODBhMWU0ZTA2NTRjZjIxOWNiMWQiLCJ1c2VySWQiOiI2NzU0ODU5MzIifQ==</vt:lpwstr>
  </property>
</Properties>
</file>